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ey0ptleft"/>
        <w:tblW w:w="0" w:type="auto"/>
        <w:tblBorders>
          <w:top w:val="single" w:sz="4" w:space="0" w:color="BFBFBF" w:themeColor="background1" w:themeShade="BF"/>
          <w:bottom w:val="single" w:sz="4" w:space="0" w:color="BFBFBF" w:themeColor="background1" w:themeShade="BF"/>
          <w:insideH w:val="single" w:sz="4" w:space="0" w:color="BFBFBF" w:themeColor="background1" w:themeShade="BF"/>
        </w:tblBorders>
        <w:tblLook w:val="04A0" w:firstRow="1" w:lastRow="0" w:firstColumn="1" w:lastColumn="0" w:noHBand="0" w:noVBand="1"/>
      </w:tblPr>
      <w:tblGrid>
        <w:gridCol w:w="1809"/>
        <w:gridCol w:w="8157"/>
      </w:tblGrid>
      <w:tr w:rsidR="002A3CF5" w:rsidRPr="002A3CF5" w14:paraId="5194B6DC" w14:textId="77777777" w:rsidTr="002E3268">
        <w:trPr>
          <w:cnfStyle w:val="100000000000" w:firstRow="1" w:lastRow="0" w:firstColumn="0" w:lastColumn="0" w:oddVBand="0" w:evenVBand="0" w:oddHBand="0" w:evenHBand="0" w:firstRowFirstColumn="0" w:firstRowLastColumn="0" w:lastRowFirstColumn="0" w:lastRowLastColumn="0"/>
          <w:trHeight w:val="2778"/>
        </w:trPr>
        <w:tc>
          <w:tcPr>
            <w:tcW w:w="1809" w:type="dxa"/>
            <w:tcBorders>
              <w:top w:val="none" w:sz="0" w:space="0" w:color="auto"/>
            </w:tcBorders>
          </w:tcPr>
          <w:p w14:paraId="55904FF3" w14:textId="77777777" w:rsidR="002A3CF5" w:rsidRPr="002A3CF5" w:rsidRDefault="002A3CF5" w:rsidP="002A3CF5">
            <w:pPr>
              <w:pStyle w:val="Tabletext"/>
              <w:jc w:val="both"/>
              <w:rPr>
                <w:rFonts w:ascii="Verdana" w:hAnsi="Verdana"/>
                <w:sz w:val="16"/>
                <w:szCs w:val="18"/>
                <w:highlight w:val="yellow"/>
                <w:lang w:val="fr-FR" w:eastAsia="fr-CA"/>
              </w:rPr>
            </w:pPr>
            <w:bookmarkStart w:id="0" w:name="_GoBack"/>
            <w:bookmarkEnd w:id="0"/>
            <w:r w:rsidRPr="002A3CF5">
              <w:rPr>
                <w:rFonts w:ascii="Verdana" w:hAnsi="Verdana"/>
                <w:noProof/>
                <w:sz w:val="16"/>
                <w:szCs w:val="18"/>
              </w:rPr>
              <w:drawing>
                <wp:inline distT="0" distB="0" distL="0" distR="0" wp14:anchorId="508F85DB" wp14:editId="2D0F034B">
                  <wp:extent cx="974090" cy="1276350"/>
                  <wp:effectExtent l="0" t="0" r="0" b="0"/>
                  <wp:docPr id="9" name="Picture 8" descr="A person wearing glasses posing for the camera&#10;&#10;Description automatically generated">
                    <a:extLst xmlns:a="http://schemas.openxmlformats.org/drawingml/2006/main">
                      <a:ext uri="{FF2B5EF4-FFF2-40B4-BE49-F238E27FC236}">
                        <a16:creationId xmlns:a16="http://schemas.microsoft.com/office/drawing/2014/main" id="{9493F4EB-C03C-4E9D-95D2-AF1A280F75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person wearing glasses posing for the camera&#10;&#10;Description automatically generated">
                            <a:extLst>
                              <a:ext uri="{FF2B5EF4-FFF2-40B4-BE49-F238E27FC236}">
                                <a16:creationId xmlns:a16="http://schemas.microsoft.com/office/drawing/2014/main" id="{9493F4EB-C03C-4E9D-95D2-AF1A280F759E}"/>
                              </a:ext>
                            </a:extLst>
                          </pic:cNvPr>
                          <pic:cNvPicPr>
                            <a:picLocks noChangeAspect="1"/>
                          </pic:cNvPicPr>
                        </pic:nvPicPr>
                        <pic:blipFill rotWithShape="1">
                          <a:blip r:embed="rId8"/>
                          <a:srcRect b="22362"/>
                          <a:stretch/>
                        </pic:blipFill>
                        <pic:spPr>
                          <a:xfrm>
                            <a:off x="0" y="0"/>
                            <a:ext cx="974494" cy="1276879"/>
                          </a:xfrm>
                          <a:prstGeom prst="rect">
                            <a:avLst/>
                          </a:prstGeom>
                        </pic:spPr>
                      </pic:pic>
                    </a:graphicData>
                  </a:graphic>
                </wp:inline>
              </w:drawing>
            </w:r>
          </w:p>
        </w:tc>
        <w:tc>
          <w:tcPr>
            <w:tcW w:w="8157" w:type="dxa"/>
            <w:tcBorders>
              <w:top w:val="none" w:sz="0" w:space="0" w:color="auto"/>
            </w:tcBorders>
          </w:tcPr>
          <w:p w14:paraId="1C580D4C" w14:textId="77777777" w:rsidR="002A3CF5" w:rsidRPr="002A3CF5" w:rsidRDefault="002A3CF5" w:rsidP="002A3CF5">
            <w:pPr>
              <w:pStyle w:val="TableBio"/>
              <w:jc w:val="both"/>
              <w:rPr>
                <w:rFonts w:ascii="Verdana" w:hAnsi="Verdana"/>
                <w:sz w:val="18"/>
                <w:szCs w:val="18"/>
                <w:lang w:val="fr-FR"/>
              </w:rPr>
            </w:pPr>
            <w:r w:rsidRPr="002A3CF5">
              <w:rPr>
                <w:rFonts w:ascii="Verdana" w:hAnsi="Verdana"/>
                <w:sz w:val="18"/>
                <w:szCs w:val="18"/>
                <w:lang w:val="fr-FR"/>
              </w:rPr>
              <w:t>Fadhel Ghajati</w:t>
            </w:r>
          </w:p>
          <w:p w14:paraId="7902F0C0" w14:textId="77777777" w:rsidR="002A3CF5" w:rsidRPr="002A3CF5" w:rsidRDefault="002A3CF5" w:rsidP="002A3CF5">
            <w:pPr>
              <w:pStyle w:val="Tabletextbold"/>
              <w:jc w:val="both"/>
              <w:rPr>
                <w:rFonts w:ascii="Verdana" w:hAnsi="Verdana"/>
                <w:sz w:val="16"/>
                <w:szCs w:val="18"/>
                <w:lang w:val="fr-FR"/>
              </w:rPr>
            </w:pPr>
            <w:r w:rsidRPr="002A3CF5">
              <w:rPr>
                <w:rFonts w:ascii="Verdana" w:hAnsi="Verdana"/>
                <w:sz w:val="16"/>
                <w:szCs w:val="18"/>
                <w:lang w:val="fr-FR" w:eastAsia="fr-CA"/>
              </w:rPr>
              <w:t xml:space="preserve">Manager | Cyber Risk  </w:t>
            </w:r>
          </w:p>
          <w:p w14:paraId="00DAF548" w14:textId="77777777" w:rsidR="002A3CF5" w:rsidRPr="002A3CF5" w:rsidRDefault="002A3CF5" w:rsidP="002A3CF5">
            <w:pPr>
              <w:pStyle w:val="TableBioRole"/>
              <w:framePr w:wrap="around"/>
              <w:jc w:val="both"/>
              <w:rPr>
                <w:rFonts w:ascii="Verdana" w:hAnsi="Verdana"/>
                <w:sz w:val="16"/>
                <w:szCs w:val="18"/>
                <w:lang w:val="fr-FR"/>
              </w:rPr>
            </w:pPr>
            <w:r w:rsidRPr="002A3CF5">
              <w:rPr>
                <w:rFonts w:ascii="Verdana" w:hAnsi="Verdana"/>
                <w:sz w:val="16"/>
                <w:szCs w:val="18"/>
                <w:lang w:val="fr-FR"/>
              </w:rPr>
              <w:t>Rôle |Expert Cybersécurité</w:t>
            </w:r>
          </w:p>
          <w:p w14:paraId="6B0084A0" w14:textId="2A88734E" w:rsidR="002A3CF5" w:rsidRPr="002A3CF5" w:rsidRDefault="002A3CF5" w:rsidP="002A3CF5">
            <w:pPr>
              <w:pStyle w:val="Tabletext"/>
              <w:spacing w:before="120"/>
              <w:jc w:val="both"/>
              <w:rPr>
                <w:rFonts w:ascii="Verdana" w:hAnsi="Verdana"/>
                <w:sz w:val="16"/>
                <w:szCs w:val="18"/>
                <w:lang w:val="fr-FR"/>
              </w:rPr>
            </w:pPr>
            <w:r w:rsidRPr="002A3CF5">
              <w:rPr>
                <w:rFonts w:ascii="Verdana" w:hAnsi="Verdana"/>
                <w:sz w:val="16"/>
                <w:szCs w:val="18"/>
                <w:lang w:val="fr-FR"/>
              </w:rPr>
              <w:t>Fadhel est Manager Cyber-risque. Il est de formation ingénieur en Télécom et profite de plus que 17 ans d’expérience en cybersécurité, gestion des risques et conformité des système d’information.</w:t>
            </w:r>
          </w:p>
          <w:p w14:paraId="0DECD42F" w14:textId="77777777" w:rsidR="002A3CF5" w:rsidRPr="002A3CF5" w:rsidRDefault="002A3CF5" w:rsidP="002A3CF5">
            <w:pPr>
              <w:pStyle w:val="Tabletext"/>
              <w:spacing w:before="120"/>
              <w:jc w:val="both"/>
              <w:rPr>
                <w:rFonts w:ascii="Verdana" w:hAnsi="Verdana"/>
                <w:sz w:val="16"/>
                <w:szCs w:val="18"/>
                <w:lang w:val="fr-FR"/>
              </w:rPr>
            </w:pPr>
            <w:r w:rsidRPr="002A3CF5">
              <w:rPr>
                <w:rFonts w:ascii="Verdana" w:hAnsi="Verdana"/>
                <w:sz w:val="16"/>
                <w:szCs w:val="18"/>
              </w:rPr>
              <w:t>Il possède des compétences solides et diversifiées, notamment dans la conduite de projets complexes, l'élaboration des programmes et des stratégies cybersécurité, la gestion de la sécurité (SMSI), la continuité des activités (SMCA), la gestion des risques cyber, l’audit et le diagnostic SI, ainsi que la mise en place de procédures et de processus IT et de sécurité à grande échelle.</w:t>
            </w:r>
          </w:p>
        </w:tc>
      </w:tr>
    </w:tbl>
    <w:p w14:paraId="6C8DDFA3" w14:textId="77777777" w:rsidR="002A3CF5" w:rsidRPr="002A3CF5" w:rsidRDefault="002A3CF5" w:rsidP="002A3CF5">
      <w:pPr>
        <w:jc w:val="both"/>
        <w:rPr>
          <w:rFonts w:ascii="Verdana" w:hAnsi="Verdana"/>
          <w:sz w:val="18"/>
          <w:szCs w:val="18"/>
          <w:lang w:val="fr-FR"/>
        </w:rPr>
      </w:pPr>
    </w:p>
    <w:p w14:paraId="19C950BA" w14:textId="2958E723" w:rsidR="002A3CF5" w:rsidRPr="002A3CF5" w:rsidRDefault="002A3CF5" w:rsidP="002A3CF5">
      <w:pPr>
        <w:pStyle w:val="Resumeheadinginfo"/>
        <w:jc w:val="both"/>
        <w:rPr>
          <w:rFonts w:ascii="Verdana" w:hAnsi="Verdana"/>
          <w:sz w:val="18"/>
          <w:szCs w:val="24"/>
          <w:lang w:val="fr-FR"/>
        </w:rPr>
      </w:pPr>
      <w:r w:rsidRPr="002A3CF5">
        <w:rPr>
          <w:rFonts w:ascii="Verdana" w:hAnsi="Verdana"/>
          <w:sz w:val="18"/>
          <w:szCs w:val="24"/>
          <w:lang w:val="fr-FR"/>
        </w:rPr>
        <w:t>Références pertinentes</w:t>
      </w:r>
    </w:p>
    <w:p w14:paraId="5B2AA13F" w14:textId="77777777" w:rsidR="002A3CF5" w:rsidRPr="002A3CF5" w:rsidRDefault="002A3CF5" w:rsidP="002A3CF5">
      <w:pPr>
        <w:pStyle w:val="ResumeHeading2"/>
        <w:jc w:val="both"/>
        <w:rPr>
          <w:rFonts w:ascii="Verdana" w:hAnsi="Verdana"/>
          <w:sz w:val="18"/>
          <w:szCs w:val="24"/>
          <w:lang w:val="fr-FR"/>
        </w:rPr>
      </w:pPr>
      <w:r w:rsidRPr="002A3CF5">
        <w:rPr>
          <w:rFonts w:ascii="Verdana" w:hAnsi="Verdana"/>
          <w:sz w:val="18"/>
          <w:szCs w:val="24"/>
          <w:lang w:val="fr-FR"/>
        </w:rPr>
        <w:t xml:space="preserve">Secteur des banques – Pilotage d’une mission de tests d’intrusion externes et internes </w:t>
      </w:r>
    </w:p>
    <w:p w14:paraId="0D78D823" w14:textId="77777777" w:rsidR="002A3CF5" w:rsidRPr="002A3CF5" w:rsidRDefault="002A3CF5" w:rsidP="002A3CF5">
      <w:pPr>
        <w:pStyle w:val="Normal6ptafter"/>
        <w:jc w:val="both"/>
        <w:rPr>
          <w:rFonts w:ascii="Verdana" w:hAnsi="Verdana"/>
          <w:sz w:val="18"/>
          <w:szCs w:val="18"/>
          <w:lang w:val="fr-FR"/>
        </w:rPr>
      </w:pPr>
      <w:r w:rsidRPr="002A3CF5">
        <w:rPr>
          <w:rFonts w:ascii="Verdana" w:hAnsi="Verdana"/>
          <w:sz w:val="18"/>
          <w:szCs w:val="18"/>
          <w:lang w:val="fr-FR"/>
        </w:rPr>
        <w:t>Ce mandat consistait principalement à l’évaluation de la maturité du système d’information face aux attaques cybernétiques. Le mandat se résume comme suit :</w:t>
      </w:r>
    </w:p>
    <w:p w14:paraId="70087FEB" w14:textId="77777777" w:rsidR="002A3CF5" w:rsidRPr="002A3CF5" w:rsidRDefault="002A3CF5" w:rsidP="002A3CF5">
      <w:pPr>
        <w:pStyle w:val="ListBullet"/>
        <w:jc w:val="both"/>
        <w:rPr>
          <w:rFonts w:ascii="Verdana" w:hAnsi="Verdana"/>
          <w:sz w:val="18"/>
          <w:szCs w:val="18"/>
          <w:lang w:val="fr-FR"/>
        </w:rPr>
      </w:pPr>
      <w:r w:rsidRPr="002A3CF5">
        <w:rPr>
          <w:rFonts w:ascii="Verdana" w:hAnsi="Verdana"/>
          <w:sz w:val="18"/>
          <w:szCs w:val="18"/>
          <w:lang w:val="fr-FR"/>
        </w:rPr>
        <w:t>La mission est alignée suite à une revue du processus des tests d’intrusion du client.</w:t>
      </w:r>
    </w:p>
    <w:p w14:paraId="112045F9" w14:textId="1ED1CE5B" w:rsidR="002A3CF5" w:rsidRPr="002A3CF5" w:rsidRDefault="002A3CF5" w:rsidP="002A3CF5">
      <w:pPr>
        <w:pStyle w:val="ListBullet"/>
        <w:jc w:val="both"/>
        <w:rPr>
          <w:rFonts w:ascii="Verdana" w:hAnsi="Verdana"/>
          <w:sz w:val="18"/>
          <w:szCs w:val="18"/>
          <w:lang w:val="fr-FR"/>
        </w:rPr>
      </w:pPr>
      <w:r w:rsidRPr="002A3CF5">
        <w:rPr>
          <w:rFonts w:ascii="Verdana" w:hAnsi="Verdana"/>
          <w:sz w:val="18"/>
          <w:szCs w:val="18"/>
          <w:lang w:val="fr-FR"/>
        </w:rPr>
        <w:t xml:space="preserve">Effectuer une phase de reconnaissances des nœuds sujet des tests d’intrusion via des outils de </w:t>
      </w:r>
      <w:r w:rsidRPr="002A3CF5">
        <w:rPr>
          <w:rFonts w:ascii="Verdana" w:hAnsi="Verdana"/>
          <w:sz w:val="18"/>
          <w:szCs w:val="18"/>
          <w:lang w:val="fr-FR"/>
        </w:rPr>
        <w:t>scan</w:t>
      </w:r>
      <w:r w:rsidRPr="002A3CF5">
        <w:rPr>
          <w:rFonts w:ascii="Verdana" w:hAnsi="Verdana"/>
          <w:sz w:val="18"/>
          <w:szCs w:val="18"/>
          <w:lang w:val="fr-FR"/>
        </w:rPr>
        <w:t xml:space="preserve"> passifs.</w:t>
      </w:r>
    </w:p>
    <w:p w14:paraId="1E290EA4" w14:textId="77777777" w:rsidR="002A3CF5" w:rsidRPr="002A3CF5" w:rsidRDefault="002A3CF5" w:rsidP="002A3CF5">
      <w:pPr>
        <w:pStyle w:val="ListBullet"/>
        <w:jc w:val="both"/>
        <w:rPr>
          <w:rFonts w:ascii="Verdana" w:hAnsi="Verdana"/>
          <w:sz w:val="18"/>
          <w:szCs w:val="18"/>
          <w:lang w:val="fr-FR"/>
        </w:rPr>
      </w:pPr>
      <w:r w:rsidRPr="002A3CF5">
        <w:rPr>
          <w:rFonts w:ascii="Verdana" w:hAnsi="Verdana"/>
          <w:sz w:val="18"/>
          <w:szCs w:val="18"/>
          <w:lang w:val="fr-FR"/>
        </w:rPr>
        <w:t>Identifier les vulnérabilités et les classifier selon leurs criticités.</w:t>
      </w:r>
    </w:p>
    <w:p w14:paraId="2823715C" w14:textId="77777777" w:rsidR="002A3CF5" w:rsidRPr="002A3CF5" w:rsidRDefault="002A3CF5" w:rsidP="002A3CF5">
      <w:pPr>
        <w:pStyle w:val="ListBullet"/>
        <w:jc w:val="both"/>
        <w:rPr>
          <w:rFonts w:ascii="Verdana" w:hAnsi="Verdana"/>
          <w:sz w:val="18"/>
          <w:szCs w:val="18"/>
          <w:lang w:val="fr-FR"/>
        </w:rPr>
      </w:pPr>
      <w:r w:rsidRPr="002A3CF5">
        <w:rPr>
          <w:rFonts w:ascii="Verdana" w:hAnsi="Verdana"/>
          <w:sz w:val="18"/>
          <w:szCs w:val="18"/>
          <w:lang w:val="fr-FR"/>
        </w:rPr>
        <w:t>Formuler des recommandations appropriées en lien avec les vulnérabilités identifiées.</w:t>
      </w:r>
    </w:p>
    <w:p w14:paraId="72C0B0B5" w14:textId="77777777" w:rsidR="002A3CF5" w:rsidRPr="002A3CF5" w:rsidRDefault="002A3CF5" w:rsidP="002A3CF5">
      <w:pPr>
        <w:pStyle w:val="ResumeHeading2"/>
        <w:jc w:val="both"/>
        <w:rPr>
          <w:rFonts w:ascii="Verdana" w:hAnsi="Verdana"/>
          <w:sz w:val="18"/>
          <w:szCs w:val="24"/>
          <w:lang w:val="fr-FR"/>
        </w:rPr>
      </w:pPr>
      <w:r w:rsidRPr="002A3CF5">
        <w:rPr>
          <w:rFonts w:ascii="Verdana" w:hAnsi="Verdana"/>
          <w:sz w:val="18"/>
          <w:szCs w:val="24"/>
          <w:lang w:val="fr-FR"/>
        </w:rPr>
        <w:t xml:space="preserve">Secteur des assurances – Mise en place d’un Système de Management de la Sécurité d’Information - SMSI </w:t>
      </w:r>
    </w:p>
    <w:p w14:paraId="65480B3C" w14:textId="27CE43DB" w:rsidR="002A3CF5" w:rsidRPr="002A3CF5" w:rsidRDefault="002A3CF5" w:rsidP="002A3CF5">
      <w:pPr>
        <w:pStyle w:val="Normal6ptafter"/>
        <w:jc w:val="both"/>
        <w:rPr>
          <w:rFonts w:ascii="Verdana" w:hAnsi="Verdana"/>
          <w:sz w:val="18"/>
          <w:szCs w:val="18"/>
          <w:lang w:val="fr-FR"/>
        </w:rPr>
      </w:pPr>
      <w:r w:rsidRPr="002A3CF5">
        <w:rPr>
          <w:rFonts w:ascii="Verdana" w:hAnsi="Verdana"/>
          <w:sz w:val="18"/>
          <w:szCs w:val="18"/>
          <w:lang w:val="fr-FR"/>
        </w:rPr>
        <w:t>Ce mandat consistait principalement à l’évaluation la structure de l’</w:t>
      </w:r>
      <w:r w:rsidRPr="002A3CF5">
        <w:rPr>
          <w:rFonts w:ascii="Verdana" w:hAnsi="Verdana"/>
          <w:sz w:val="18"/>
          <w:szCs w:val="18"/>
          <w:lang w:val="fr-FR"/>
        </w:rPr>
        <w:t>organisation</w:t>
      </w:r>
      <w:r w:rsidRPr="002A3CF5">
        <w:rPr>
          <w:rFonts w:ascii="Verdana" w:hAnsi="Verdana"/>
          <w:sz w:val="18"/>
          <w:szCs w:val="18"/>
          <w:lang w:val="fr-FR"/>
        </w:rPr>
        <w:t xml:space="preserve"> existante afin de contribuer à l’amélioration de la gouvernance selon les meilleurs pratiques et le cadre de référence international. Le mandat se résume comme suit :</w:t>
      </w:r>
    </w:p>
    <w:p w14:paraId="17E3E3D3" w14:textId="77777777" w:rsidR="002A3CF5" w:rsidRPr="002A3CF5" w:rsidRDefault="002A3CF5" w:rsidP="002A3CF5">
      <w:pPr>
        <w:pStyle w:val="ListBullet"/>
        <w:jc w:val="both"/>
        <w:rPr>
          <w:rFonts w:ascii="Verdana" w:hAnsi="Verdana"/>
          <w:sz w:val="18"/>
          <w:szCs w:val="18"/>
          <w:lang w:val="fr-FR"/>
        </w:rPr>
      </w:pPr>
      <w:r w:rsidRPr="002A3CF5">
        <w:rPr>
          <w:rFonts w:ascii="Verdana" w:hAnsi="Verdana"/>
          <w:sz w:val="18"/>
          <w:szCs w:val="18"/>
          <w:lang w:val="fr-FR"/>
        </w:rPr>
        <w:t>Effectuer un diagnostic et une analyse des processus IT afin de disposer d’un outil d’appréciation de la pertinence de sa gestion interne pour mener à bien les missions qui lui sont confiées ;</w:t>
      </w:r>
    </w:p>
    <w:p w14:paraId="1CA7E621" w14:textId="77777777" w:rsidR="002A3CF5" w:rsidRPr="002A3CF5" w:rsidRDefault="002A3CF5" w:rsidP="002A3CF5">
      <w:pPr>
        <w:pStyle w:val="ListBullet"/>
        <w:jc w:val="both"/>
        <w:rPr>
          <w:rFonts w:ascii="Verdana" w:hAnsi="Verdana"/>
          <w:sz w:val="18"/>
          <w:szCs w:val="18"/>
          <w:lang w:val="fr-FR"/>
        </w:rPr>
      </w:pPr>
      <w:r w:rsidRPr="002A3CF5">
        <w:rPr>
          <w:rFonts w:ascii="Verdana" w:hAnsi="Verdana"/>
          <w:sz w:val="18"/>
          <w:szCs w:val="18"/>
          <w:lang w:val="fr-FR"/>
        </w:rPr>
        <w:t>Evaluer la couverture fonctionnelle actuelle et se projeter sur les besoins futurs ;</w:t>
      </w:r>
    </w:p>
    <w:p w14:paraId="7034369C" w14:textId="77777777" w:rsidR="002A3CF5" w:rsidRPr="002A3CF5" w:rsidRDefault="002A3CF5" w:rsidP="002A3CF5">
      <w:pPr>
        <w:pStyle w:val="ListBullet"/>
        <w:jc w:val="both"/>
        <w:rPr>
          <w:rFonts w:ascii="Verdana" w:hAnsi="Verdana"/>
          <w:sz w:val="18"/>
          <w:szCs w:val="18"/>
          <w:lang w:val="fr-FR"/>
        </w:rPr>
      </w:pPr>
      <w:r w:rsidRPr="002A3CF5">
        <w:rPr>
          <w:rFonts w:ascii="Verdana" w:hAnsi="Verdana"/>
          <w:sz w:val="18"/>
          <w:szCs w:val="18"/>
          <w:lang w:val="fr-FR"/>
        </w:rPr>
        <w:t>Formuler des recommandations en lien avec les constats opérés, visant à améliorer l’efficacité opérationnelle des processus IT.</w:t>
      </w:r>
    </w:p>
    <w:p w14:paraId="1E1FE879" w14:textId="77777777" w:rsidR="002A3CF5" w:rsidRPr="002A3CF5" w:rsidRDefault="002A3CF5" w:rsidP="002A3CF5">
      <w:pPr>
        <w:pStyle w:val="ResumeHeading2"/>
        <w:jc w:val="both"/>
        <w:rPr>
          <w:rFonts w:ascii="Verdana" w:hAnsi="Verdana"/>
          <w:sz w:val="18"/>
          <w:szCs w:val="24"/>
          <w:lang w:val="fr-FR"/>
        </w:rPr>
      </w:pPr>
      <w:r w:rsidRPr="002A3CF5">
        <w:rPr>
          <w:rFonts w:ascii="Verdana" w:hAnsi="Verdana"/>
          <w:sz w:val="18"/>
          <w:szCs w:val="24"/>
          <w:lang w:val="fr-FR"/>
        </w:rPr>
        <w:t>Secteur des assurances – Actualisation du diagnostic SI et mise en place d’une feuille de route triennale</w:t>
      </w:r>
    </w:p>
    <w:p w14:paraId="49262FB7" w14:textId="0EF1755F" w:rsidR="002A3CF5" w:rsidRPr="002A3CF5" w:rsidRDefault="002A3CF5" w:rsidP="002A3CF5">
      <w:pPr>
        <w:pStyle w:val="Normal6ptafter"/>
        <w:jc w:val="both"/>
        <w:rPr>
          <w:rFonts w:ascii="Verdana" w:hAnsi="Verdana"/>
          <w:sz w:val="18"/>
          <w:szCs w:val="18"/>
          <w:lang w:val="fr-FR"/>
        </w:rPr>
      </w:pPr>
      <w:r w:rsidRPr="002A3CF5">
        <w:rPr>
          <w:rFonts w:ascii="Verdana" w:hAnsi="Verdana"/>
          <w:sz w:val="18"/>
          <w:szCs w:val="18"/>
          <w:lang w:val="fr-FR"/>
        </w:rPr>
        <w:t>Ce mandat visait à définir un SI aligné au plan de développement de la banque, réussir sa tran</w:t>
      </w:r>
      <w:r w:rsidRPr="002A3CF5">
        <w:rPr>
          <w:rFonts w:ascii="Verdana" w:hAnsi="Verdana"/>
          <w:sz w:val="18"/>
          <w:szCs w:val="18"/>
          <w:lang w:val="fr-FR"/>
        </w:rPr>
        <w:t>s</w:t>
      </w:r>
      <w:r w:rsidRPr="002A3CF5">
        <w:rPr>
          <w:rFonts w:ascii="Verdana" w:hAnsi="Verdana"/>
          <w:sz w:val="18"/>
          <w:szCs w:val="18"/>
          <w:lang w:val="fr-FR"/>
        </w:rPr>
        <w:t xml:space="preserve">formation digitale et s’aligner aux nouveautés technologiques et meilleures pratiques du secteur des </w:t>
      </w:r>
      <w:r w:rsidRPr="002A3CF5">
        <w:rPr>
          <w:rFonts w:ascii="Verdana" w:hAnsi="Verdana"/>
          <w:sz w:val="18"/>
          <w:szCs w:val="18"/>
          <w:lang w:val="fr-FR"/>
        </w:rPr>
        <w:t>assurances.</w:t>
      </w:r>
      <w:r w:rsidRPr="002A3CF5">
        <w:rPr>
          <w:rFonts w:ascii="Verdana" w:hAnsi="Verdana"/>
          <w:sz w:val="18"/>
          <w:szCs w:val="18"/>
          <w:lang w:val="fr-FR"/>
        </w:rPr>
        <w:t xml:space="preserve"> Ce mandat réside </w:t>
      </w:r>
      <w:r w:rsidRPr="002A3CF5">
        <w:rPr>
          <w:rFonts w:ascii="Verdana" w:hAnsi="Verdana"/>
          <w:sz w:val="18"/>
          <w:szCs w:val="18"/>
          <w:lang w:val="fr-FR"/>
        </w:rPr>
        <w:t>principalement</w:t>
      </w:r>
      <w:r w:rsidRPr="002A3CF5">
        <w:rPr>
          <w:rFonts w:ascii="Verdana" w:hAnsi="Verdana"/>
          <w:sz w:val="18"/>
          <w:szCs w:val="18"/>
          <w:lang w:val="fr-FR"/>
        </w:rPr>
        <w:t> :</w:t>
      </w:r>
    </w:p>
    <w:p w14:paraId="59015D70" w14:textId="77777777" w:rsidR="002A3CF5" w:rsidRPr="002A3CF5" w:rsidRDefault="002A3CF5" w:rsidP="002A3CF5">
      <w:pPr>
        <w:pStyle w:val="ListBullet"/>
        <w:jc w:val="both"/>
        <w:rPr>
          <w:rFonts w:ascii="Verdana" w:hAnsi="Verdana"/>
          <w:sz w:val="18"/>
          <w:szCs w:val="18"/>
          <w:lang w:val="fr-FR"/>
        </w:rPr>
      </w:pPr>
      <w:r w:rsidRPr="002A3CF5">
        <w:rPr>
          <w:rFonts w:ascii="Verdana" w:hAnsi="Verdana"/>
          <w:sz w:val="18"/>
          <w:szCs w:val="18"/>
          <w:lang w:val="fr-FR"/>
        </w:rPr>
        <w:t>A la réalisation du diagnostic de l’état actuel du système d’information (Gouvernance, Organisation, Architecture, Couverture fonctionnelle &amp; applicative, …)</w:t>
      </w:r>
    </w:p>
    <w:p w14:paraId="246A895A" w14:textId="77777777" w:rsidR="002A3CF5" w:rsidRPr="002A3CF5" w:rsidRDefault="002A3CF5" w:rsidP="002A3CF5">
      <w:pPr>
        <w:pStyle w:val="ListBullet"/>
        <w:jc w:val="both"/>
        <w:rPr>
          <w:rFonts w:ascii="Verdana" w:hAnsi="Verdana"/>
          <w:sz w:val="18"/>
          <w:szCs w:val="18"/>
          <w:lang w:val="fr-FR"/>
        </w:rPr>
      </w:pPr>
      <w:r w:rsidRPr="002A3CF5">
        <w:rPr>
          <w:rFonts w:ascii="Verdana" w:hAnsi="Verdana"/>
          <w:sz w:val="18"/>
          <w:szCs w:val="18"/>
          <w:lang w:val="fr-FR"/>
        </w:rPr>
        <w:t>Au diagnostic en mode FOCUS sur l’architecture réseau, les infrastructures SI, les systèmes et les applications à fort impact</w:t>
      </w:r>
    </w:p>
    <w:p w14:paraId="2623F83F" w14:textId="77777777" w:rsidR="002A3CF5" w:rsidRPr="002A3CF5" w:rsidRDefault="002A3CF5" w:rsidP="002A3CF5">
      <w:pPr>
        <w:pStyle w:val="ListBullet"/>
        <w:jc w:val="both"/>
        <w:rPr>
          <w:rFonts w:ascii="Verdana" w:hAnsi="Verdana"/>
          <w:sz w:val="18"/>
          <w:szCs w:val="18"/>
          <w:lang w:val="fr-FR"/>
        </w:rPr>
      </w:pPr>
      <w:r w:rsidRPr="002A3CF5">
        <w:rPr>
          <w:rFonts w:ascii="Verdana" w:hAnsi="Verdana"/>
          <w:sz w:val="18"/>
          <w:szCs w:val="18"/>
          <w:lang w:val="fr-FR"/>
        </w:rPr>
        <w:t>A la définition du ROADMAP sur 3 ans et son portefeuille projet pour la déclinaison de la stratégie SI cible</w:t>
      </w:r>
    </w:p>
    <w:p w14:paraId="4CF7455A" w14:textId="77777777" w:rsidR="002A3CF5" w:rsidRPr="002A3CF5" w:rsidRDefault="002A3CF5" w:rsidP="002A3CF5">
      <w:pPr>
        <w:pStyle w:val="ResumeHeading2"/>
        <w:jc w:val="both"/>
        <w:rPr>
          <w:rFonts w:ascii="Verdana" w:hAnsi="Verdana"/>
          <w:sz w:val="18"/>
          <w:szCs w:val="24"/>
          <w:lang w:val="fr-FR"/>
        </w:rPr>
      </w:pPr>
      <w:r w:rsidRPr="002A3CF5">
        <w:rPr>
          <w:rFonts w:ascii="Verdana" w:hAnsi="Verdana"/>
          <w:sz w:val="18"/>
          <w:szCs w:val="24"/>
          <w:lang w:val="fr-FR"/>
        </w:rPr>
        <w:lastRenderedPageBreak/>
        <w:t xml:space="preserve">Secteur de la grande distribution – Mise en place d’un Système de Management de la Sécurité d’Information - SMSI </w:t>
      </w:r>
    </w:p>
    <w:p w14:paraId="452C7DF0" w14:textId="77777777" w:rsidR="002A3CF5" w:rsidRPr="002A3CF5" w:rsidRDefault="002A3CF5" w:rsidP="002A3CF5">
      <w:pPr>
        <w:pStyle w:val="Normal6ptafter"/>
        <w:jc w:val="both"/>
        <w:rPr>
          <w:rFonts w:ascii="Verdana" w:hAnsi="Verdana"/>
          <w:sz w:val="18"/>
          <w:szCs w:val="18"/>
          <w:lang w:val="fr-FR"/>
        </w:rPr>
      </w:pPr>
      <w:r w:rsidRPr="002A3CF5">
        <w:rPr>
          <w:rFonts w:ascii="Verdana" w:hAnsi="Verdana"/>
          <w:sz w:val="18"/>
          <w:szCs w:val="18"/>
          <w:lang w:val="fr-FR"/>
        </w:rPr>
        <w:t xml:space="preserve">Ce mandat visait à l’accompagnement de la mise en place d’un SMSI et à la certification ISO 27001, ce mandat est constitué de cinq principales phases qui sont la phase de planification, la phase de déploiement , phase de contrôle , la phase de d’amélioration et la phase de certification du SMSI . Les principales activités réalisées au cours de ce mandat sont :  </w:t>
      </w:r>
    </w:p>
    <w:p w14:paraId="56E83DC6" w14:textId="77777777" w:rsidR="002A3CF5" w:rsidRPr="002A3CF5" w:rsidRDefault="002A3CF5" w:rsidP="002A3CF5">
      <w:pPr>
        <w:pStyle w:val="ListBullet"/>
        <w:jc w:val="both"/>
        <w:rPr>
          <w:rFonts w:ascii="Verdana" w:hAnsi="Verdana"/>
          <w:sz w:val="18"/>
          <w:szCs w:val="18"/>
          <w:lang w:val="fr-FR"/>
        </w:rPr>
      </w:pPr>
      <w:r w:rsidRPr="002A3CF5">
        <w:rPr>
          <w:rFonts w:ascii="Verdana" w:hAnsi="Verdana"/>
          <w:sz w:val="18"/>
          <w:szCs w:val="18"/>
          <w:lang w:val="fr-FR"/>
        </w:rPr>
        <w:t>Evaluation des risques IT du système d'information (basée sur MEHARI) et l’élaboration du plan de traitement des risques,</w:t>
      </w:r>
    </w:p>
    <w:p w14:paraId="2696A9C0" w14:textId="77777777" w:rsidR="002A3CF5" w:rsidRPr="002A3CF5" w:rsidRDefault="002A3CF5" w:rsidP="002A3CF5">
      <w:pPr>
        <w:pStyle w:val="ListBullet"/>
        <w:jc w:val="both"/>
        <w:rPr>
          <w:rFonts w:ascii="Verdana" w:hAnsi="Verdana"/>
          <w:sz w:val="18"/>
          <w:szCs w:val="18"/>
          <w:lang w:val="fr-FR"/>
        </w:rPr>
      </w:pPr>
      <w:r w:rsidRPr="002A3CF5">
        <w:rPr>
          <w:rFonts w:ascii="Verdana" w:hAnsi="Verdana"/>
          <w:sz w:val="18"/>
          <w:szCs w:val="18"/>
          <w:lang w:val="fr-FR"/>
        </w:rPr>
        <w:t>La réalisation des différents audits organisationnel, physique, technique et tests d’intrusions, de la stratégie de sécurité et du plan de mise en œuvre.</w:t>
      </w:r>
    </w:p>
    <w:p w14:paraId="7CFAF5E6" w14:textId="77777777" w:rsidR="002A3CF5" w:rsidRPr="002A3CF5" w:rsidRDefault="002A3CF5" w:rsidP="002A3CF5">
      <w:pPr>
        <w:pStyle w:val="ListBullet"/>
        <w:jc w:val="both"/>
        <w:rPr>
          <w:rFonts w:ascii="Verdana" w:hAnsi="Verdana"/>
          <w:sz w:val="18"/>
          <w:szCs w:val="18"/>
          <w:lang w:val="fr-FR"/>
        </w:rPr>
      </w:pPr>
      <w:r w:rsidRPr="002A3CF5">
        <w:rPr>
          <w:rFonts w:ascii="Verdana" w:hAnsi="Verdana"/>
          <w:sz w:val="18"/>
          <w:szCs w:val="18"/>
          <w:lang w:val="fr-FR"/>
        </w:rPr>
        <w:t xml:space="preserve">L’assistance à la mise en œuvre des politiques et procédures de sécurité, la réalisation des documents de support du SMSI, la sensibilisation des équipes à la sécurité de l’information et la mise en œuvre du plan d’action de sécurité et de traitement des risques. </w:t>
      </w:r>
    </w:p>
    <w:p w14:paraId="42B87FE0" w14:textId="77777777" w:rsidR="002A3CF5" w:rsidRPr="002A3CF5" w:rsidRDefault="002A3CF5" w:rsidP="002A3CF5">
      <w:pPr>
        <w:pStyle w:val="ListBullet"/>
        <w:jc w:val="both"/>
        <w:rPr>
          <w:rFonts w:ascii="Verdana" w:hAnsi="Verdana"/>
          <w:sz w:val="18"/>
          <w:szCs w:val="18"/>
          <w:lang w:val="fr-FR"/>
        </w:rPr>
      </w:pPr>
      <w:r w:rsidRPr="002A3CF5">
        <w:rPr>
          <w:rFonts w:ascii="Verdana" w:hAnsi="Verdana"/>
          <w:sz w:val="18"/>
          <w:szCs w:val="18"/>
          <w:lang w:val="fr-FR"/>
        </w:rPr>
        <w:t xml:space="preserve">La surveillance et l’évaluation du SMSI, ainsi que la réalisation de l’audit interne ISO 27001, la revue de direction et la revue de processus. </w:t>
      </w:r>
    </w:p>
    <w:p w14:paraId="3B0E9003" w14:textId="77777777" w:rsidR="002A3CF5" w:rsidRPr="002A3CF5" w:rsidRDefault="002A3CF5" w:rsidP="002A3CF5">
      <w:pPr>
        <w:pStyle w:val="ListBullet"/>
        <w:jc w:val="both"/>
        <w:rPr>
          <w:rFonts w:ascii="Verdana" w:hAnsi="Verdana"/>
          <w:sz w:val="18"/>
          <w:szCs w:val="18"/>
          <w:lang w:val="fr-FR"/>
        </w:rPr>
      </w:pPr>
      <w:r w:rsidRPr="002A3CF5">
        <w:rPr>
          <w:rFonts w:ascii="Verdana" w:hAnsi="Verdana"/>
          <w:sz w:val="18"/>
          <w:szCs w:val="18"/>
          <w:lang w:val="fr-FR"/>
        </w:rPr>
        <w:t>L’élaboration de la procédure d’actions correctives, préventives et d’amélioration, ainsi que le suivi de la mise en place des actions.</w:t>
      </w:r>
    </w:p>
    <w:p w14:paraId="38B7A28D" w14:textId="77777777" w:rsidR="002A3CF5" w:rsidRPr="002A3CF5" w:rsidRDefault="002A3CF5" w:rsidP="002A3CF5">
      <w:pPr>
        <w:pStyle w:val="ListBullet"/>
        <w:jc w:val="both"/>
        <w:rPr>
          <w:rFonts w:ascii="Verdana" w:hAnsi="Verdana"/>
          <w:sz w:val="18"/>
          <w:szCs w:val="18"/>
          <w:lang w:val="fr-FR"/>
        </w:rPr>
      </w:pPr>
      <w:r w:rsidRPr="002A3CF5">
        <w:rPr>
          <w:rFonts w:ascii="Verdana" w:hAnsi="Verdana"/>
          <w:sz w:val="18"/>
          <w:szCs w:val="18"/>
          <w:lang w:val="fr-FR"/>
        </w:rPr>
        <w:t xml:space="preserve">Le choix de l’organisme de certification, l’accompagnement lors de l’audit à blanc et de l’audit de certification ISO 27001. </w:t>
      </w:r>
      <w:r w:rsidRPr="002A3CF5">
        <w:rPr>
          <w:rFonts w:ascii="Verdana" w:hAnsi="Verdana"/>
          <w:sz w:val="18"/>
          <w:szCs w:val="18"/>
          <w:lang w:val="fr-FR"/>
        </w:rPr>
        <w:tab/>
      </w:r>
    </w:p>
    <w:p w14:paraId="77E3BE6E" w14:textId="77777777" w:rsidR="002A3CF5" w:rsidRPr="002A3CF5" w:rsidRDefault="002A3CF5" w:rsidP="002A3CF5">
      <w:pPr>
        <w:pStyle w:val="ResumeHeading2"/>
        <w:jc w:val="both"/>
        <w:rPr>
          <w:rFonts w:ascii="Verdana" w:hAnsi="Verdana"/>
          <w:sz w:val="18"/>
          <w:szCs w:val="24"/>
          <w:lang w:val="fr-FR"/>
        </w:rPr>
      </w:pPr>
      <w:r w:rsidRPr="002A3CF5">
        <w:rPr>
          <w:rFonts w:ascii="Verdana" w:hAnsi="Verdana"/>
          <w:sz w:val="18"/>
          <w:szCs w:val="24"/>
          <w:lang w:val="fr-FR"/>
        </w:rPr>
        <w:t>Secteur grande distribution – Mise en place des bonnes pratiques ITIL</w:t>
      </w:r>
    </w:p>
    <w:p w14:paraId="770D7F8A" w14:textId="77777777" w:rsidR="002A3CF5" w:rsidRPr="002A3CF5" w:rsidRDefault="002A3CF5" w:rsidP="002A3CF5">
      <w:pPr>
        <w:pStyle w:val="Normal6ptafter"/>
        <w:jc w:val="both"/>
        <w:rPr>
          <w:rFonts w:ascii="Verdana" w:hAnsi="Verdana"/>
          <w:sz w:val="18"/>
          <w:szCs w:val="18"/>
          <w:lang w:val="fr-FR"/>
        </w:rPr>
      </w:pPr>
      <w:r w:rsidRPr="002A3CF5">
        <w:rPr>
          <w:rFonts w:ascii="Verdana" w:hAnsi="Verdana"/>
          <w:sz w:val="18"/>
          <w:szCs w:val="18"/>
          <w:lang w:val="fr-FR"/>
        </w:rPr>
        <w:t>Un mandat d’accompagnement à la mise en place des bonnes pratiques ITIL, ce mandat visait à garantir la gestion d’un catalogue de service IT qui répond aux besoins des métiers, le Niveau de Service (SLA) convenu avec les prescripteurs métiers, la conformité de la qualité, de la sécurité et la professionnalisation des services rendus avec les normes définies et un coût aligné avec les objectifs stratégiques. Les principales activités réalisées au cours de ce mandat sont :</w:t>
      </w:r>
    </w:p>
    <w:p w14:paraId="5BE2BB74" w14:textId="77777777" w:rsidR="002A3CF5" w:rsidRPr="002A3CF5" w:rsidRDefault="002A3CF5" w:rsidP="002A3CF5">
      <w:pPr>
        <w:pStyle w:val="ListBullet"/>
        <w:jc w:val="both"/>
        <w:rPr>
          <w:rFonts w:ascii="Verdana" w:hAnsi="Verdana"/>
          <w:sz w:val="18"/>
          <w:szCs w:val="18"/>
          <w:lang w:val="fr-FR"/>
        </w:rPr>
      </w:pPr>
      <w:r w:rsidRPr="002A3CF5">
        <w:rPr>
          <w:rFonts w:ascii="Verdana" w:hAnsi="Verdana"/>
          <w:sz w:val="18"/>
          <w:szCs w:val="18"/>
          <w:lang w:val="fr-FR"/>
        </w:rPr>
        <w:t xml:space="preserve"> Le diagnostic de la gouvernance SI</w:t>
      </w:r>
    </w:p>
    <w:p w14:paraId="243E47C1" w14:textId="77777777" w:rsidR="002A3CF5" w:rsidRPr="002A3CF5" w:rsidRDefault="002A3CF5" w:rsidP="002A3CF5">
      <w:pPr>
        <w:pStyle w:val="ListBullet"/>
        <w:jc w:val="both"/>
        <w:rPr>
          <w:rFonts w:ascii="Verdana" w:hAnsi="Verdana"/>
          <w:sz w:val="18"/>
          <w:szCs w:val="18"/>
          <w:lang w:val="fr-FR"/>
        </w:rPr>
      </w:pPr>
      <w:r w:rsidRPr="002A3CF5">
        <w:rPr>
          <w:rFonts w:ascii="Verdana" w:hAnsi="Verdana"/>
          <w:sz w:val="18"/>
          <w:szCs w:val="18"/>
          <w:lang w:val="fr-FR"/>
        </w:rPr>
        <w:t xml:space="preserve">La définition de la feuille de route de mise en place du référentiel ITIL </w:t>
      </w:r>
    </w:p>
    <w:p w14:paraId="04537F33" w14:textId="77777777" w:rsidR="002A3CF5" w:rsidRPr="002A3CF5" w:rsidRDefault="002A3CF5" w:rsidP="002A3CF5">
      <w:pPr>
        <w:pStyle w:val="ListBullet"/>
        <w:jc w:val="both"/>
        <w:rPr>
          <w:rFonts w:ascii="Verdana" w:hAnsi="Verdana"/>
          <w:sz w:val="18"/>
          <w:szCs w:val="18"/>
          <w:lang w:val="fr-FR"/>
        </w:rPr>
      </w:pPr>
      <w:r w:rsidRPr="002A3CF5">
        <w:rPr>
          <w:rFonts w:ascii="Verdana" w:hAnsi="Verdana"/>
          <w:sz w:val="18"/>
          <w:szCs w:val="18"/>
          <w:lang w:val="fr-FR"/>
        </w:rPr>
        <w:t xml:space="preserve">La mise en place des processus prioritaires ITIL </w:t>
      </w:r>
    </w:p>
    <w:p w14:paraId="124370F7" w14:textId="77777777" w:rsidR="002A3CF5" w:rsidRPr="002A3CF5" w:rsidRDefault="002A3CF5" w:rsidP="002A3CF5">
      <w:pPr>
        <w:pStyle w:val="ListBullet"/>
        <w:jc w:val="both"/>
        <w:rPr>
          <w:rFonts w:ascii="Verdana" w:hAnsi="Verdana"/>
          <w:sz w:val="18"/>
          <w:szCs w:val="18"/>
          <w:lang w:val="fr-FR"/>
        </w:rPr>
      </w:pPr>
      <w:r w:rsidRPr="002A3CF5">
        <w:rPr>
          <w:rFonts w:ascii="Verdana" w:hAnsi="Verdana"/>
          <w:sz w:val="18"/>
          <w:szCs w:val="18"/>
          <w:lang w:val="fr-FR"/>
        </w:rPr>
        <w:t>La rédaction du cahier des charges pour le choix de l’outil ITSM</w:t>
      </w:r>
    </w:p>
    <w:p w14:paraId="4051785D" w14:textId="77777777" w:rsidR="002A3CF5" w:rsidRPr="002A3CF5" w:rsidRDefault="002A3CF5" w:rsidP="002A3CF5">
      <w:pPr>
        <w:pStyle w:val="ResumeHeading2"/>
        <w:jc w:val="both"/>
        <w:rPr>
          <w:rFonts w:ascii="Verdana" w:hAnsi="Verdana"/>
          <w:sz w:val="18"/>
          <w:szCs w:val="24"/>
          <w:lang w:val="fr-FR"/>
        </w:rPr>
      </w:pPr>
      <w:r w:rsidRPr="002A3CF5">
        <w:rPr>
          <w:rFonts w:ascii="Verdana" w:hAnsi="Verdana"/>
          <w:sz w:val="18"/>
          <w:szCs w:val="24"/>
          <w:lang w:val="fr-FR"/>
        </w:rPr>
        <w:t>Secteur gouvernemental – Elaboration des politiques et procédures liées à la sécurité de l’information</w:t>
      </w:r>
    </w:p>
    <w:p w14:paraId="10837050" w14:textId="7DB8A8E5" w:rsidR="002A3CF5" w:rsidRPr="002A3CF5" w:rsidRDefault="002A3CF5" w:rsidP="002A3CF5">
      <w:pPr>
        <w:keepNext/>
        <w:keepLines/>
        <w:spacing w:after="120"/>
        <w:jc w:val="both"/>
        <w:rPr>
          <w:rFonts w:ascii="Verdana" w:hAnsi="Verdana"/>
          <w:sz w:val="18"/>
          <w:szCs w:val="18"/>
        </w:rPr>
      </w:pPr>
      <w:r w:rsidRPr="002A3CF5">
        <w:rPr>
          <w:rFonts w:ascii="Verdana" w:hAnsi="Verdana"/>
          <w:sz w:val="18"/>
          <w:szCs w:val="18"/>
          <w:lang w:val="fr-FR"/>
        </w:rPr>
        <w:t xml:space="preserve">Ce mandat consistait </w:t>
      </w:r>
      <w:r w:rsidR="009F617A" w:rsidRPr="002A3CF5">
        <w:rPr>
          <w:rFonts w:ascii="Verdana" w:hAnsi="Verdana"/>
          <w:sz w:val="18"/>
          <w:szCs w:val="18"/>
          <w:lang w:val="fr-FR"/>
        </w:rPr>
        <w:t>à la</w:t>
      </w:r>
      <w:r w:rsidRPr="002A3CF5">
        <w:rPr>
          <w:rFonts w:ascii="Verdana" w:hAnsi="Verdana"/>
          <w:sz w:val="18"/>
          <w:szCs w:val="18"/>
          <w:lang w:val="fr-FR"/>
        </w:rPr>
        <w:t xml:space="preserve"> mise en place des politiques et des procédures afin d’atténuer les risques et contribuer à l’amélioration de la gestion de la sécurité de l’information. Le mandat se résume comme </w:t>
      </w:r>
      <w:r w:rsidR="009F617A" w:rsidRPr="002A3CF5">
        <w:rPr>
          <w:rFonts w:ascii="Verdana" w:hAnsi="Verdana"/>
          <w:sz w:val="18"/>
          <w:szCs w:val="18"/>
          <w:lang w:val="fr-FR"/>
        </w:rPr>
        <w:t xml:space="preserve">suit </w:t>
      </w:r>
      <w:r w:rsidR="009F617A" w:rsidRPr="002A3CF5">
        <w:rPr>
          <w:rFonts w:ascii="Verdana" w:hAnsi="Verdana"/>
          <w:sz w:val="18"/>
          <w:szCs w:val="18"/>
        </w:rPr>
        <w:t>:</w:t>
      </w:r>
    </w:p>
    <w:p w14:paraId="1D786F74" w14:textId="77777777" w:rsidR="002A3CF5" w:rsidRPr="002A3CF5" w:rsidRDefault="002A3CF5" w:rsidP="002A3CF5">
      <w:pPr>
        <w:pStyle w:val="ListBullet"/>
        <w:jc w:val="both"/>
        <w:rPr>
          <w:rFonts w:ascii="Verdana" w:hAnsi="Verdana"/>
          <w:sz w:val="18"/>
          <w:szCs w:val="18"/>
          <w:lang w:val="fr-FR"/>
        </w:rPr>
      </w:pPr>
      <w:r w:rsidRPr="002A3CF5">
        <w:rPr>
          <w:rFonts w:ascii="Verdana" w:hAnsi="Verdana"/>
          <w:sz w:val="18"/>
          <w:szCs w:val="18"/>
          <w:lang w:val="fr-FR"/>
        </w:rPr>
        <w:t xml:space="preserve">Développement d'un cadre de classification des informations (basé sur ISO 27002 et NIST 800-60). </w:t>
      </w:r>
    </w:p>
    <w:p w14:paraId="30586612" w14:textId="77777777" w:rsidR="002A3CF5" w:rsidRPr="002A3CF5" w:rsidRDefault="002A3CF5" w:rsidP="002A3CF5">
      <w:pPr>
        <w:pStyle w:val="ListBullet"/>
        <w:jc w:val="both"/>
        <w:rPr>
          <w:rFonts w:ascii="Verdana" w:hAnsi="Verdana"/>
          <w:sz w:val="18"/>
          <w:szCs w:val="18"/>
          <w:lang w:val="fr-FR"/>
        </w:rPr>
      </w:pPr>
      <w:r w:rsidRPr="002A3CF5">
        <w:rPr>
          <w:rFonts w:ascii="Verdana" w:hAnsi="Verdana"/>
          <w:sz w:val="18"/>
          <w:szCs w:val="18"/>
          <w:lang w:val="fr-FR"/>
        </w:rPr>
        <w:t xml:space="preserve">Evaluation et revue des politiques de sécurité (sur la base des normes ISO 27001 et NIST). </w:t>
      </w:r>
    </w:p>
    <w:p w14:paraId="4A508B78" w14:textId="0D3F0EF9" w:rsidR="002A3CF5" w:rsidRPr="002A3CF5" w:rsidRDefault="009F617A" w:rsidP="002A3CF5">
      <w:pPr>
        <w:pStyle w:val="ListBullet"/>
        <w:jc w:val="both"/>
        <w:rPr>
          <w:rFonts w:ascii="Verdana" w:hAnsi="Verdana"/>
          <w:sz w:val="18"/>
          <w:szCs w:val="18"/>
          <w:lang w:val="fr-FR"/>
        </w:rPr>
      </w:pPr>
      <w:r w:rsidRPr="002A3CF5">
        <w:rPr>
          <w:rFonts w:ascii="Verdana" w:hAnsi="Verdana"/>
          <w:sz w:val="18"/>
          <w:szCs w:val="18"/>
          <w:lang w:val="fr-FR"/>
        </w:rPr>
        <w:t>Elaboration</w:t>
      </w:r>
      <w:r w:rsidR="002A3CF5" w:rsidRPr="002A3CF5">
        <w:rPr>
          <w:rFonts w:ascii="Verdana" w:hAnsi="Verdana"/>
          <w:sz w:val="18"/>
          <w:szCs w:val="18"/>
          <w:lang w:val="fr-FR"/>
        </w:rPr>
        <w:t xml:space="preserve"> des guides techniques pour des outils de sécurité</w:t>
      </w:r>
    </w:p>
    <w:p w14:paraId="0F0346A6" w14:textId="77777777" w:rsidR="002A3CF5" w:rsidRPr="002A3CF5" w:rsidRDefault="002A3CF5" w:rsidP="002A3CF5">
      <w:pPr>
        <w:pStyle w:val="ListBullet"/>
        <w:jc w:val="both"/>
        <w:rPr>
          <w:rFonts w:ascii="Verdana" w:hAnsi="Verdana"/>
          <w:sz w:val="18"/>
          <w:szCs w:val="18"/>
          <w:lang w:val="fr-FR"/>
        </w:rPr>
      </w:pPr>
      <w:r w:rsidRPr="002A3CF5">
        <w:rPr>
          <w:rFonts w:ascii="Verdana" w:hAnsi="Verdana"/>
          <w:sz w:val="18"/>
          <w:szCs w:val="18"/>
          <w:lang w:val="fr-FR"/>
        </w:rPr>
        <w:t xml:space="preserve">Evaluation des risques IT du système d'information (basée sur MEHARI &amp; Ebios, ISO 27005 et partiellement le cadre de gestion des risques du NIST). </w:t>
      </w:r>
    </w:p>
    <w:p w14:paraId="0BBA0FCC" w14:textId="77777777" w:rsidR="002A3CF5" w:rsidRPr="002A3CF5" w:rsidRDefault="002A3CF5" w:rsidP="002A3CF5">
      <w:pPr>
        <w:pStyle w:val="ListBullet"/>
        <w:jc w:val="both"/>
        <w:rPr>
          <w:rFonts w:ascii="Verdana" w:hAnsi="Verdana"/>
          <w:sz w:val="18"/>
          <w:szCs w:val="18"/>
          <w:lang w:val="fr-FR"/>
        </w:rPr>
      </w:pPr>
      <w:r w:rsidRPr="002A3CF5">
        <w:rPr>
          <w:rFonts w:ascii="Verdana" w:hAnsi="Verdana"/>
          <w:sz w:val="18"/>
          <w:szCs w:val="18"/>
          <w:lang w:val="fr-FR"/>
        </w:rPr>
        <w:t xml:space="preserve">Développement du programme de sensibilisation à la cybersécurité </w:t>
      </w:r>
    </w:p>
    <w:p w14:paraId="7BFCAF24" w14:textId="4CCBBE61" w:rsidR="002A3CF5" w:rsidRPr="002A3CF5" w:rsidRDefault="002A3CF5" w:rsidP="002A3CF5">
      <w:pPr>
        <w:pStyle w:val="Resumeheadinginfo"/>
        <w:jc w:val="both"/>
        <w:rPr>
          <w:rFonts w:ascii="Verdana" w:hAnsi="Verdana"/>
          <w:sz w:val="18"/>
          <w:szCs w:val="24"/>
          <w:lang w:val="fr-FR"/>
        </w:rPr>
      </w:pPr>
      <w:r>
        <w:rPr>
          <w:rFonts w:ascii="Verdana" w:hAnsi="Verdana"/>
          <w:sz w:val="18"/>
          <w:szCs w:val="24"/>
          <w:lang w:val="fr-FR"/>
        </w:rPr>
        <w:t>Certifications</w:t>
      </w:r>
    </w:p>
    <w:p w14:paraId="27D7F476" w14:textId="77777777" w:rsidR="002A3CF5" w:rsidRPr="002A3CF5" w:rsidRDefault="002A3CF5" w:rsidP="002A3CF5">
      <w:pPr>
        <w:pStyle w:val="ListBullet"/>
        <w:jc w:val="both"/>
        <w:rPr>
          <w:rFonts w:ascii="Verdana" w:hAnsi="Verdana"/>
          <w:sz w:val="18"/>
          <w:szCs w:val="18"/>
          <w:lang w:val="en-US"/>
        </w:rPr>
      </w:pPr>
      <w:r w:rsidRPr="002A3CF5">
        <w:rPr>
          <w:rFonts w:ascii="Verdana" w:hAnsi="Verdana"/>
          <w:sz w:val="18"/>
          <w:szCs w:val="18"/>
          <w:lang w:val="en-US"/>
        </w:rPr>
        <w:t>ISO 27001 Lead Auditor &amp; ISO 27001 Lead Implementer</w:t>
      </w:r>
    </w:p>
    <w:p w14:paraId="22CA1A6D" w14:textId="77777777" w:rsidR="002A3CF5" w:rsidRPr="002A3CF5" w:rsidRDefault="002A3CF5" w:rsidP="002A3CF5">
      <w:pPr>
        <w:pStyle w:val="ListBullet"/>
        <w:jc w:val="both"/>
        <w:rPr>
          <w:rFonts w:ascii="Verdana" w:hAnsi="Verdana"/>
          <w:sz w:val="18"/>
          <w:szCs w:val="18"/>
          <w:lang w:val="fr-FR"/>
        </w:rPr>
      </w:pPr>
      <w:r w:rsidRPr="002A3CF5">
        <w:rPr>
          <w:rFonts w:ascii="Verdana" w:hAnsi="Verdana"/>
          <w:sz w:val="18"/>
          <w:szCs w:val="18"/>
          <w:lang w:val="fr-FR"/>
        </w:rPr>
        <w:t>ISO 22301 Internal Auditor</w:t>
      </w:r>
    </w:p>
    <w:p w14:paraId="3E648CFB" w14:textId="77777777" w:rsidR="002A3CF5" w:rsidRPr="002A3CF5" w:rsidRDefault="002A3CF5" w:rsidP="002A3CF5">
      <w:pPr>
        <w:pStyle w:val="ListBullet"/>
        <w:jc w:val="both"/>
        <w:rPr>
          <w:rFonts w:ascii="Verdana" w:hAnsi="Verdana"/>
          <w:sz w:val="18"/>
          <w:szCs w:val="18"/>
          <w:lang w:val="en-US"/>
        </w:rPr>
      </w:pPr>
      <w:r w:rsidRPr="002A3CF5">
        <w:rPr>
          <w:rFonts w:ascii="Verdana" w:hAnsi="Verdana"/>
          <w:sz w:val="18"/>
          <w:szCs w:val="18"/>
          <w:lang w:val="en-US"/>
        </w:rPr>
        <w:t>ISO 27005 Senior Lead Risk Manager &amp; ISO 31000 Senior Lead Risk Manager</w:t>
      </w:r>
    </w:p>
    <w:p w14:paraId="32815AAB" w14:textId="77777777" w:rsidR="002A3CF5" w:rsidRPr="002A3CF5" w:rsidRDefault="002A3CF5" w:rsidP="002A3CF5">
      <w:pPr>
        <w:pStyle w:val="ListBullet"/>
        <w:jc w:val="both"/>
        <w:rPr>
          <w:rFonts w:ascii="Verdana" w:hAnsi="Verdana"/>
          <w:sz w:val="18"/>
          <w:szCs w:val="18"/>
          <w:lang w:val="fr-FR"/>
        </w:rPr>
      </w:pPr>
      <w:r w:rsidRPr="002A3CF5">
        <w:rPr>
          <w:rFonts w:ascii="Verdana" w:hAnsi="Verdana"/>
          <w:sz w:val="18"/>
          <w:szCs w:val="18"/>
          <w:lang w:val="fr-FR"/>
        </w:rPr>
        <w:t>MEHARI Advanced Expert</w:t>
      </w:r>
    </w:p>
    <w:p w14:paraId="278011A9" w14:textId="77777777" w:rsidR="002A3CF5" w:rsidRPr="002A3CF5" w:rsidRDefault="002A3CF5" w:rsidP="002A3CF5">
      <w:pPr>
        <w:pStyle w:val="ListBullet"/>
        <w:jc w:val="both"/>
        <w:rPr>
          <w:rFonts w:ascii="Verdana" w:hAnsi="Verdana"/>
          <w:sz w:val="18"/>
          <w:szCs w:val="18"/>
          <w:lang w:val="fr-FR"/>
        </w:rPr>
      </w:pPr>
      <w:r w:rsidRPr="002A3CF5">
        <w:rPr>
          <w:rFonts w:ascii="Verdana" w:hAnsi="Verdana"/>
          <w:sz w:val="18"/>
          <w:szCs w:val="18"/>
          <w:lang w:val="fr-FR"/>
        </w:rPr>
        <w:lastRenderedPageBreak/>
        <w:t>Expert Auditeur ANSI</w:t>
      </w:r>
    </w:p>
    <w:p w14:paraId="77325B6E" w14:textId="77777777" w:rsidR="002A3CF5" w:rsidRPr="002A3CF5" w:rsidRDefault="002A3CF5" w:rsidP="002A3CF5">
      <w:pPr>
        <w:pStyle w:val="ListBullet"/>
        <w:jc w:val="both"/>
        <w:rPr>
          <w:rFonts w:ascii="Verdana" w:hAnsi="Verdana"/>
          <w:sz w:val="18"/>
          <w:szCs w:val="18"/>
          <w:lang w:val="fr-FR"/>
        </w:rPr>
      </w:pPr>
      <w:r w:rsidRPr="002A3CF5">
        <w:rPr>
          <w:rFonts w:ascii="Verdana" w:hAnsi="Verdana"/>
          <w:sz w:val="18"/>
          <w:szCs w:val="18"/>
          <w:lang w:val="fr-FR"/>
        </w:rPr>
        <w:t>Certified Data Protection Officer</w:t>
      </w:r>
    </w:p>
    <w:p w14:paraId="61EA7F66" w14:textId="77777777" w:rsidR="002A3CF5" w:rsidRPr="002A3CF5" w:rsidRDefault="002A3CF5" w:rsidP="002A3CF5">
      <w:pPr>
        <w:pStyle w:val="ListBullet"/>
        <w:jc w:val="both"/>
        <w:rPr>
          <w:rFonts w:ascii="Verdana" w:hAnsi="Verdana"/>
          <w:sz w:val="18"/>
          <w:szCs w:val="18"/>
          <w:lang w:val="en-US"/>
        </w:rPr>
      </w:pPr>
      <w:r w:rsidRPr="002A3CF5">
        <w:rPr>
          <w:rFonts w:ascii="Verdana" w:hAnsi="Verdana"/>
          <w:sz w:val="18"/>
          <w:szCs w:val="18"/>
          <w:lang w:val="en-US"/>
        </w:rPr>
        <w:t>RWVCPC Remote Work and Virtual Collaboration</w:t>
      </w:r>
    </w:p>
    <w:p w14:paraId="7C265061" w14:textId="77777777" w:rsidR="002A3CF5" w:rsidRPr="002A3CF5" w:rsidRDefault="002A3CF5" w:rsidP="002A3CF5">
      <w:pPr>
        <w:pStyle w:val="ListBullet"/>
        <w:jc w:val="both"/>
        <w:rPr>
          <w:rFonts w:ascii="Verdana" w:hAnsi="Verdana"/>
          <w:sz w:val="18"/>
          <w:szCs w:val="18"/>
          <w:lang w:val="fr-FR"/>
        </w:rPr>
      </w:pPr>
      <w:r w:rsidRPr="002A3CF5">
        <w:rPr>
          <w:rFonts w:ascii="Verdana" w:hAnsi="Verdana"/>
          <w:sz w:val="18"/>
          <w:szCs w:val="18"/>
          <w:lang w:val="fr-FR"/>
        </w:rPr>
        <w:t>Certfied Digital Marketing</w:t>
      </w:r>
    </w:p>
    <w:p w14:paraId="64E6A1C1" w14:textId="77777777" w:rsidR="002A3CF5" w:rsidRPr="002A3CF5" w:rsidRDefault="002A3CF5" w:rsidP="002A3CF5">
      <w:pPr>
        <w:pStyle w:val="ListBullet"/>
        <w:jc w:val="both"/>
        <w:rPr>
          <w:rFonts w:ascii="Verdana" w:hAnsi="Verdana"/>
          <w:sz w:val="18"/>
          <w:szCs w:val="18"/>
          <w:lang w:val="fr-FR"/>
        </w:rPr>
      </w:pPr>
      <w:r w:rsidRPr="002A3CF5">
        <w:rPr>
          <w:rFonts w:ascii="Verdana" w:hAnsi="Verdana"/>
          <w:sz w:val="18"/>
          <w:szCs w:val="18"/>
          <w:lang w:val="fr-FR"/>
        </w:rPr>
        <w:t>SFPC: Scrum Foundation Professional Certificate</w:t>
      </w:r>
    </w:p>
    <w:p w14:paraId="7ED86784" w14:textId="77777777" w:rsidR="002A3CF5" w:rsidRPr="002A3CF5" w:rsidRDefault="002A3CF5" w:rsidP="002A3CF5">
      <w:pPr>
        <w:pStyle w:val="ListBullet"/>
        <w:jc w:val="both"/>
        <w:rPr>
          <w:rFonts w:ascii="Verdana" w:hAnsi="Verdana"/>
          <w:sz w:val="18"/>
          <w:szCs w:val="18"/>
          <w:lang w:val="en-US"/>
        </w:rPr>
      </w:pPr>
      <w:r w:rsidRPr="002A3CF5">
        <w:rPr>
          <w:rFonts w:ascii="Verdana" w:hAnsi="Verdana"/>
          <w:sz w:val="18"/>
          <w:szCs w:val="18"/>
          <w:lang w:val="en-US"/>
        </w:rPr>
        <w:t>CNSS – Certified Network Security Specialist</w:t>
      </w:r>
    </w:p>
    <w:p w14:paraId="4F081D33" w14:textId="77777777" w:rsidR="002A3CF5" w:rsidRPr="002A3CF5" w:rsidRDefault="002A3CF5" w:rsidP="002A3CF5">
      <w:pPr>
        <w:pStyle w:val="ListBullet"/>
        <w:jc w:val="both"/>
        <w:rPr>
          <w:rFonts w:ascii="Verdana" w:hAnsi="Verdana"/>
          <w:sz w:val="18"/>
          <w:szCs w:val="18"/>
          <w:lang w:val="fr-FR"/>
        </w:rPr>
      </w:pPr>
      <w:r w:rsidRPr="002A3CF5">
        <w:rPr>
          <w:rFonts w:ascii="Verdana" w:hAnsi="Verdana"/>
          <w:sz w:val="18"/>
          <w:szCs w:val="18"/>
          <w:lang w:val="fr-FR"/>
        </w:rPr>
        <w:t>Fortinet NSE1 &amp; NSE2</w:t>
      </w:r>
    </w:p>
    <w:p w14:paraId="05551D40" w14:textId="77777777" w:rsidR="002A3CF5" w:rsidRPr="002A3CF5" w:rsidRDefault="002A3CF5" w:rsidP="002A3CF5">
      <w:pPr>
        <w:pStyle w:val="ListBullet"/>
        <w:jc w:val="both"/>
        <w:rPr>
          <w:rFonts w:ascii="Verdana" w:hAnsi="Verdana"/>
          <w:sz w:val="18"/>
          <w:szCs w:val="18"/>
          <w:lang w:val="fr-FR"/>
        </w:rPr>
      </w:pPr>
      <w:r w:rsidRPr="002A3CF5">
        <w:rPr>
          <w:rFonts w:ascii="Verdana" w:hAnsi="Verdana"/>
          <w:sz w:val="18"/>
          <w:szCs w:val="18"/>
          <w:lang w:val="fr-FR"/>
        </w:rPr>
        <w:t>ITIL V3</w:t>
      </w:r>
    </w:p>
    <w:p w14:paraId="2D4FCD0F" w14:textId="77777777" w:rsidR="002A3CF5" w:rsidRPr="002A3CF5" w:rsidRDefault="002A3CF5" w:rsidP="002A3CF5">
      <w:pPr>
        <w:pStyle w:val="ListBullet"/>
        <w:jc w:val="both"/>
        <w:rPr>
          <w:rFonts w:ascii="Verdana" w:hAnsi="Verdana"/>
          <w:sz w:val="18"/>
          <w:szCs w:val="18"/>
          <w:lang w:val="en-US"/>
        </w:rPr>
      </w:pPr>
      <w:r w:rsidRPr="002A3CF5">
        <w:rPr>
          <w:rFonts w:ascii="Verdana" w:hAnsi="Verdana"/>
          <w:sz w:val="18"/>
          <w:szCs w:val="18"/>
          <w:lang w:val="en-US"/>
        </w:rPr>
        <w:t>Pentesting and Securing Web Applications (PSWA)</w:t>
      </w:r>
    </w:p>
    <w:p w14:paraId="697A83C0" w14:textId="77777777" w:rsidR="002A3CF5" w:rsidRPr="002A3CF5" w:rsidRDefault="002A3CF5" w:rsidP="002A3CF5">
      <w:pPr>
        <w:pStyle w:val="Resumeheadinginfo"/>
        <w:jc w:val="both"/>
        <w:rPr>
          <w:rFonts w:ascii="Verdana" w:hAnsi="Verdana"/>
          <w:sz w:val="18"/>
          <w:szCs w:val="24"/>
        </w:rPr>
      </w:pPr>
      <w:r w:rsidRPr="002A3CF5">
        <w:rPr>
          <w:rFonts w:ascii="Verdana" w:hAnsi="Verdana"/>
          <w:sz w:val="18"/>
          <w:szCs w:val="24"/>
        </w:rPr>
        <w:t>Études</w:t>
      </w:r>
    </w:p>
    <w:p w14:paraId="1C1D4BA5" w14:textId="42C10D23" w:rsidR="002A3CF5" w:rsidRPr="002A3CF5" w:rsidRDefault="002A3CF5" w:rsidP="002A3CF5">
      <w:pPr>
        <w:pStyle w:val="ListBullet"/>
        <w:jc w:val="both"/>
        <w:rPr>
          <w:rFonts w:ascii="Verdana" w:hAnsi="Verdana"/>
          <w:sz w:val="18"/>
          <w:szCs w:val="18"/>
        </w:rPr>
      </w:pPr>
      <w:r w:rsidRPr="002A3CF5">
        <w:rPr>
          <w:rFonts w:ascii="Verdana" w:hAnsi="Verdana"/>
          <w:sz w:val="18"/>
          <w:szCs w:val="18"/>
        </w:rPr>
        <w:t xml:space="preserve">Master en Télécommunications, </w:t>
      </w:r>
      <w:r w:rsidR="009F617A" w:rsidRPr="002A3CF5">
        <w:rPr>
          <w:rFonts w:ascii="Verdana" w:hAnsi="Verdana"/>
          <w:sz w:val="18"/>
          <w:szCs w:val="18"/>
        </w:rPr>
        <w:t>É</w:t>
      </w:r>
      <w:r w:rsidR="009F617A">
        <w:rPr>
          <w:rFonts w:ascii="Verdana" w:hAnsi="Verdana"/>
          <w:sz w:val="18"/>
          <w:szCs w:val="18"/>
        </w:rPr>
        <w:t xml:space="preserve">cole </w:t>
      </w:r>
      <w:r w:rsidRPr="002A3CF5">
        <w:rPr>
          <w:rFonts w:ascii="Verdana" w:hAnsi="Verdana"/>
          <w:sz w:val="18"/>
          <w:szCs w:val="18"/>
        </w:rPr>
        <w:t>P</w:t>
      </w:r>
      <w:r w:rsidR="009F617A">
        <w:rPr>
          <w:rFonts w:ascii="Verdana" w:hAnsi="Verdana"/>
          <w:sz w:val="18"/>
          <w:szCs w:val="18"/>
        </w:rPr>
        <w:t>olytechnique</w:t>
      </w:r>
      <w:r w:rsidRPr="002A3CF5">
        <w:rPr>
          <w:rFonts w:ascii="Verdana" w:hAnsi="Verdana"/>
          <w:sz w:val="18"/>
          <w:szCs w:val="18"/>
        </w:rPr>
        <w:t xml:space="preserve"> de Turin (2007)</w:t>
      </w:r>
    </w:p>
    <w:p w14:paraId="2AEBCC30" w14:textId="77777777" w:rsidR="002A3CF5" w:rsidRPr="002A3CF5" w:rsidRDefault="002A3CF5" w:rsidP="002A3CF5">
      <w:pPr>
        <w:pStyle w:val="ListBullet"/>
        <w:jc w:val="both"/>
        <w:rPr>
          <w:rFonts w:ascii="Verdana" w:hAnsi="Verdana"/>
          <w:sz w:val="18"/>
          <w:szCs w:val="18"/>
        </w:rPr>
      </w:pPr>
      <w:r w:rsidRPr="002A3CF5">
        <w:rPr>
          <w:rFonts w:ascii="Verdana" w:hAnsi="Verdana"/>
          <w:sz w:val="18"/>
          <w:szCs w:val="18"/>
        </w:rPr>
        <w:t>Diplôme d’ingénieur en Télécommunications, Sup’Com (2003)</w:t>
      </w:r>
    </w:p>
    <w:p w14:paraId="33051FB6" w14:textId="77777777" w:rsidR="002A3CF5" w:rsidRPr="002A3CF5" w:rsidRDefault="002A3CF5" w:rsidP="002A3CF5">
      <w:pPr>
        <w:pStyle w:val="Resumeheadinginfo"/>
        <w:jc w:val="both"/>
        <w:rPr>
          <w:rFonts w:ascii="Verdana" w:hAnsi="Verdana"/>
          <w:sz w:val="18"/>
          <w:szCs w:val="24"/>
        </w:rPr>
      </w:pPr>
      <w:r w:rsidRPr="002A3CF5">
        <w:rPr>
          <w:rFonts w:ascii="Verdana" w:hAnsi="Verdana"/>
          <w:sz w:val="18"/>
          <w:szCs w:val="24"/>
        </w:rPr>
        <w:t>Compétences linguistiques</w:t>
      </w:r>
    </w:p>
    <w:p w14:paraId="669E4D86" w14:textId="77777777" w:rsidR="002A3CF5" w:rsidRPr="002A3CF5" w:rsidRDefault="002A3CF5" w:rsidP="002A3CF5">
      <w:pPr>
        <w:pStyle w:val="ListBullet"/>
        <w:jc w:val="both"/>
        <w:rPr>
          <w:rFonts w:ascii="Verdana" w:hAnsi="Verdana"/>
          <w:sz w:val="18"/>
          <w:szCs w:val="18"/>
        </w:rPr>
      </w:pPr>
      <w:r w:rsidRPr="002A3CF5">
        <w:rPr>
          <w:rFonts w:ascii="Verdana" w:hAnsi="Verdana"/>
          <w:sz w:val="18"/>
          <w:szCs w:val="18"/>
        </w:rPr>
        <w:t xml:space="preserve">Arabe – Langue maternelle </w:t>
      </w:r>
    </w:p>
    <w:p w14:paraId="621107A9" w14:textId="77777777" w:rsidR="002A3CF5" w:rsidRPr="002A3CF5" w:rsidRDefault="002A3CF5" w:rsidP="002A3CF5">
      <w:pPr>
        <w:pStyle w:val="ListBullet"/>
        <w:jc w:val="both"/>
        <w:rPr>
          <w:rFonts w:ascii="Verdana" w:hAnsi="Verdana"/>
          <w:sz w:val="18"/>
          <w:szCs w:val="18"/>
        </w:rPr>
      </w:pPr>
      <w:r w:rsidRPr="002A3CF5">
        <w:rPr>
          <w:rFonts w:ascii="Verdana" w:hAnsi="Verdana"/>
          <w:sz w:val="18"/>
          <w:szCs w:val="18"/>
        </w:rPr>
        <w:t xml:space="preserve">Français – Courant </w:t>
      </w:r>
    </w:p>
    <w:p w14:paraId="425FD382" w14:textId="77777777" w:rsidR="002A3CF5" w:rsidRPr="002A3CF5" w:rsidRDefault="002A3CF5" w:rsidP="002A3CF5">
      <w:pPr>
        <w:pStyle w:val="ListBullet"/>
        <w:jc w:val="both"/>
        <w:rPr>
          <w:rFonts w:ascii="Verdana" w:hAnsi="Verdana"/>
          <w:sz w:val="18"/>
          <w:szCs w:val="18"/>
        </w:rPr>
      </w:pPr>
      <w:r w:rsidRPr="002A3CF5">
        <w:rPr>
          <w:rFonts w:ascii="Verdana" w:hAnsi="Verdana"/>
          <w:sz w:val="18"/>
          <w:szCs w:val="18"/>
        </w:rPr>
        <w:t xml:space="preserve">Anglais – Courant </w:t>
      </w:r>
    </w:p>
    <w:p w14:paraId="7141F864" w14:textId="77777777" w:rsidR="002A3CF5" w:rsidRPr="002A3CF5" w:rsidRDefault="002A3CF5" w:rsidP="002A3CF5">
      <w:pPr>
        <w:pStyle w:val="ListBullet"/>
        <w:jc w:val="both"/>
        <w:rPr>
          <w:rFonts w:ascii="Verdana" w:hAnsi="Verdana"/>
          <w:sz w:val="18"/>
          <w:szCs w:val="18"/>
        </w:rPr>
      </w:pPr>
      <w:r w:rsidRPr="002A3CF5">
        <w:rPr>
          <w:rFonts w:ascii="Verdana" w:hAnsi="Verdana"/>
          <w:sz w:val="18"/>
          <w:szCs w:val="18"/>
        </w:rPr>
        <w:t xml:space="preserve">Italien – Notions de base </w:t>
      </w:r>
    </w:p>
    <w:p w14:paraId="0AE31030" w14:textId="77777777" w:rsidR="002A3CF5" w:rsidRPr="002A3CF5" w:rsidRDefault="002A3CF5" w:rsidP="002A3CF5">
      <w:pPr>
        <w:jc w:val="both"/>
        <w:rPr>
          <w:rFonts w:ascii="Verdana" w:hAnsi="Verdana"/>
          <w:sz w:val="18"/>
          <w:szCs w:val="18"/>
          <w:lang w:val="fr-FR"/>
        </w:rPr>
      </w:pPr>
    </w:p>
    <w:p w14:paraId="43F0BEA7" w14:textId="77777777" w:rsidR="002A3CF5" w:rsidRPr="002A3CF5" w:rsidRDefault="002A3CF5" w:rsidP="002A3CF5">
      <w:pPr>
        <w:jc w:val="both"/>
        <w:rPr>
          <w:rFonts w:ascii="Verdana" w:hAnsi="Verdana"/>
          <w:sz w:val="18"/>
          <w:szCs w:val="18"/>
          <w:lang w:val="fr-FR"/>
        </w:rPr>
      </w:pPr>
    </w:p>
    <w:p w14:paraId="05CEF5DF" w14:textId="77777777" w:rsidR="002A3CF5" w:rsidRPr="002A3CF5" w:rsidRDefault="002A3CF5" w:rsidP="002A3CF5">
      <w:pPr>
        <w:jc w:val="both"/>
        <w:rPr>
          <w:rFonts w:ascii="Verdana" w:hAnsi="Verdana"/>
          <w:sz w:val="18"/>
          <w:szCs w:val="18"/>
          <w:lang w:val="fr-FR"/>
        </w:rPr>
      </w:pPr>
    </w:p>
    <w:p w14:paraId="6FBB2062" w14:textId="77777777" w:rsidR="002A3CF5" w:rsidRPr="002A3CF5" w:rsidRDefault="002A3CF5" w:rsidP="002A3CF5">
      <w:pPr>
        <w:jc w:val="both"/>
        <w:rPr>
          <w:rFonts w:ascii="Verdana" w:hAnsi="Verdana"/>
          <w:sz w:val="18"/>
          <w:szCs w:val="18"/>
          <w:lang w:val="fr-FR"/>
        </w:rPr>
      </w:pPr>
    </w:p>
    <w:p w14:paraId="78D64E87" w14:textId="77777777" w:rsidR="002A3CF5" w:rsidRPr="002A3CF5" w:rsidRDefault="002A3CF5" w:rsidP="002A3CF5">
      <w:pPr>
        <w:jc w:val="both"/>
        <w:rPr>
          <w:rFonts w:ascii="Verdana" w:hAnsi="Verdana"/>
          <w:sz w:val="18"/>
          <w:szCs w:val="18"/>
          <w:lang w:val="fr-FR"/>
        </w:rPr>
      </w:pPr>
    </w:p>
    <w:p w14:paraId="37777E4B" w14:textId="77777777" w:rsidR="002F325D" w:rsidRPr="002A3CF5" w:rsidRDefault="002F325D" w:rsidP="002A3CF5">
      <w:pPr>
        <w:jc w:val="both"/>
        <w:rPr>
          <w:rFonts w:ascii="Verdana" w:hAnsi="Verdana"/>
          <w:sz w:val="18"/>
          <w:szCs w:val="18"/>
        </w:rPr>
      </w:pPr>
    </w:p>
    <w:sectPr w:rsidR="002F325D" w:rsidRPr="002A3CF5" w:rsidSect="0062262A">
      <w:headerReference w:type="even" r:id="rId9"/>
      <w:headerReference w:type="default" r:id="rId10"/>
      <w:footerReference w:type="even" r:id="rId11"/>
      <w:footerReference w:type="default" r:id="rId12"/>
      <w:headerReference w:type="first" r:id="rId13"/>
      <w:footerReference w:type="first" r:id="rId14"/>
      <w:pgSz w:w="12242" w:h="15842" w:code="1"/>
      <w:pgMar w:top="1987" w:right="1138" w:bottom="1138" w:left="1138" w:header="677" w:footer="562" w:gutter="0"/>
      <w:pgNumType w:start="1"/>
      <w:cols w:space="28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C242CB" w14:textId="77777777" w:rsidR="007438EF" w:rsidRDefault="007438EF" w:rsidP="002A3CF5">
      <w:pPr>
        <w:spacing w:after="0"/>
      </w:pPr>
      <w:r>
        <w:separator/>
      </w:r>
    </w:p>
  </w:endnote>
  <w:endnote w:type="continuationSeparator" w:id="0">
    <w:p w14:paraId="0C9840D0" w14:textId="77777777" w:rsidR="007438EF" w:rsidRDefault="007438EF" w:rsidP="002A3C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72062C" w14:textId="77777777" w:rsidR="009F617A" w:rsidRDefault="009F61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B39282" w14:textId="77777777" w:rsidR="009F617A" w:rsidRDefault="009F61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D27C49" w14:textId="77777777" w:rsidR="00D46628" w:rsidRPr="008A4019" w:rsidRDefault="007438EF" w:rsidP="00C374AE">
    <w:pPr>
      <w:pStyle w:val="Footer"/>
      <w:rPr>
        <w:sz w:val="4"/>
        <w:szCs w:val="4"/>
      </w:rPr>
    </w:pPr>
  </w:p>
  <w:p w14:paraId="1CF6EA97" w14:textId="77777777" w:rsidR="00D46628" w:rsidRDefault="007438EF"/>
  <w:p w14:paraId="4792762D" w14:textId="77777777" w:rsidR="00D46628" w:rsidRDefault="007438EF"/>
  <w:p w14:paraId="58CC7596" w14:textId="77777777" w:rsidR="00D46628" w:rsidRDefault="007438E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A99C40" w14:textId="77777777" w:rsidR="007438EF" w:rsidRDefault="007438EF" w:rsidP="002A3CF5">
      <w:pPr>
        <w:spacing w:after="0"/>
      </w:pPr>
      <w:r>
        <w:separator/>
      </w:r>
    </w:p>
  </w:footnote>
  <w:footnote w:type="continuationSeparator" w:id="0">
    <w:p w14:paraId="6D34ABFE" w14:textId="77777777" w:rsidR="007438EF" w:rsidRDefault="007438EF" w:rsidP="002A3CF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4E50A" w14:textId="77777777" w:rsidR="009F617A" w:rsidRDefault="009F61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4CA1F" w14:textId="77777777" w:rsidR="009F617A" w:rsidRDefault="009F61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7EB47D" w14:textId="77777777" w:rsidR="009F617A" w:rsidRDefault="009F61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178EF5BA"/>
    <w:lvl w:ilvl="0">
      <w:start w:val="1"/>
      <w:numFmt w:val="bullet"/>
      <w:pStyle w:val="ListBullet"/>
      <w:lvlText w:val=""/>
      <w:lvlJc w:val="left"/>
      <w:pPr>
        <w:ind w:left="288" w:hanging="288"/>
      </w:pPr>
      <w:rPr>
        <w:rFonts w:ascii="Symbol" w:hAnsi="Symbol" w:hint="default"/>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CF5"/>
    <w:rsid w:val="002226EC"/>
    <w:rsid w:val="002A3CF5"/>
    <w:rsid w:val="002F325D"/>
    <w:rsid w:val="00554140"/>
    <w:rsid w:val="007438EF"/>
    <w:rsid w:val="00772488"/>
    <w:rsid w:val="009A7A94"/>
    <w:rsid w:val="009F617A"/>
    <w:rsid w:val="00AA756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51B06"/>
  <w15:chartTrackingRefBased/>
  <w15:docId w15:val="{0BC9ADE1-A2A9-447B-8675-138706E5D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CF5"/>
    <w:pPr>
      <w:spacing w:after="240" w:line="240" w:lineRule="auto"/>
    </w:pPr>
    <w:rPr>
      <w:sz w:val="20"/>
      <w:szCs w:val="20"/>
      <w:lang w:val="fr-CA"/>
    </w:rPr>
  </w:style>
  <w:style w:type="paragraph" w:styleId="Heading1">
    <w:name w:val="heading 1"/>
    <w:basedOn w:val="Normal"/>
    <w:next w:val="Normal"/>
    <w:link w:val="Heading1Char"/>
    <w:uiPriority w:val="9"/>
    <w:qFormat/>
    <w:rsid w:val="002A3CF5"/>
    <w:pPr>
      <w:keepNext/>
      <w:keepLines/>
      <w:spacing w:before="240" w:after="0"/>
      <w:outlineLvl w:val="0"/>
    </w:pPr>
    <w:rPr>
      <w:rFonts w:asciiTheme="majorHAnsi" w:eastAsiaTheme="majorEastAsia" w:hAnsiTheme="majorHAnsi" w:cstheme="majorBidi"/>
      <w:color w:val="638C1B" w:themeColor="accent1" w:themeShade="BF"/>
      <w:sz w:val="32"/>
      <w:szCs w:val="32"/>
    </w:rPr>
  </w:style>
  <w:style w:type="paragraph" w:styleId="Heading2">
    <w:name w:val="heading 2"/>
    <w:basedOn w:val="Normal"/>
    <w:next w:val="Normal"/>
    <w:link w:val="Heading2Char"/>
    <w:uiPriority w:val="9"/>
    <w:semiHidden/>
    <w:unhideWhenUsed/>
    <w:qFormat/>
    <w:rsid w:val="002A3CF5"/>
    <w:pPr>
      <w:keepNext/>
      <w:keepLines/>
      <w:spacing w:before="40" w:after="0"/>
      <w:outlineLvl w:val="1"/>
    </w:pPr>
    <w:rPr>
      <w:rFonts w:asciiTheme="majorHAnsi" w:eastAsiaTheme="majorEastAsia" w:hAnsiTheme="majorHAnsi" w:cstheme="majorBidi"/>
      <w:color w:val="638C1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A3CF5"/>
    <w:pPr>
      <w:tabs>
        <w:tab w:val="right" w:pos="7371"/>
      </w:tabs>
      <w:spacing w:after="0" w:line="200" w:lineRule="atLeast"/>
    </w:pPr>
    <w:rPr>
      <w:sz w:val="16"/>
    </w:rPr>
  </w:style>
  <w:style w:type="character" w:customStyle="1" w:styleId="FooterChar">
    <w:name w:val="Footer Char"/>
    <w:basedOn w:val="DefaultParagraphFont"/>
    <w:link w:val="Footer"/>
    <w:uiPriority w:val="99"/>
    <w:rsid w:val="002A3CF5"/>
    <w:rPr>
      <w:sz w:val="16"/>
      <w:szCs w:val="20"/>
      <w:lang w:val="fr-CA"/>
    </w:rPr>
  </w:style>
  <w:style w:type="paragraph" w:styleId="ListBullet">
    <w:name w:val="List Bullet"/>
    <w:basedOn w:val="Normal"/>
    <w:uiPriority w:val="99"/>
    <w:qFormat/>
    <w:rsid w:val="002A3CF5"/>
    <w:pPr>
      <w:numPr>
        <w:numId w:val="1"/>
      </w:numPr>
      <w:spacing w:after="120"/>
    </w:pPr>
  </w:style>
  <w:style w:type="paragraph" w:customStyle="1" w:styleId="Tabletext">
    <w:name w:val="Table text"/>
    <w:basedOn w:val="Normal"/>
    <w:link w:val="TabletextChar"/>
    <w:qFormat/>
    <w:rsid w:val="002A3CF5"/>
    <w:pPr>
      <w:spacing w:before="60" w:after="60" w:line="200" w:lineRule="atLeast"/>
    </w:pPr>
    <w:rPr>
      <w:sz w:val="18"/>
    </w:rPr>
  </w:style>
  <w:style w:type="paragraph" w:customStyle="1" w:styleId="Tabletextbold">
    <w:name w:val="Table text bold"/>
    <w:basedOn w:val="Tabletext"/>
    <w:next w:val="Tabletext"/>
    <w:qFormat/>
    <w:rsid w:val="002A3CF5"/>
    <w:rPr>
      <w:rFonts w:asciiTheme="majorHAnsi" w:hAnsiTheme="majorHAnsi"/>
      <w:b/>
    </w:rPr>
  </w:style>
  <w:style w:type="paragraph" w:customStyle="1" w:styleId="Normal6ptafter">
    <w:name w:val="Normal 6pt after"/>
    <w:basedOn w:val="Normal"/>
    <w:qFormat/>
    <w:rsid w:val="002A3CF5"/>
    <w:pPr>
      <w:keepNext/>
      <w:keepLines/>
      <w:spacing w:after="120"/>
    </w:pPr>
  </w:style>
  <w:style w:type="table" w:customStyle="1" w:styleId="TableGrey0ptleft">
    <w:name w:val="Table Grey 0pt left"/>
    <w:basedOn w:val="TableNormal"/>
    <w:uiPriority w:val="99"/>
    <w:rsid w:val="002A3CF5"/>
    <w:pPr>
      <w:spacing w:after="0" w:line="240" w:lineRule="auto"/>
    </w:pPr>
    <w:rPr>
      <w:lang w:val="en-GB"/>
    </w:rPr>
    <w:tblPr>
      <w:tblBorders>
        <w:top w:val="single" w:sz="4" w:space="0" w:color="36C3FF" w:themeColor="accent6" w:themeTint="99"/>
        <w:bottom w:val="single" w:sz="4" w:space="0" w:color="36C3FF" w:themeColor="accent6" w:themeTint="99"/>
        <w:insideH w:val="single" w:sz="4" w:space="0" w:color="36C3FF" w:themeColor="accent6" w:themeTint="99"/>
      </w:tblBorders>
      <w:tblCellMar>
        <w:left w:w="0" w:type="dxa"/>
        <w:right w:w="58" w:type="dxa"/>
      </w:tblCellMar>
    </w:tblPr>
    <w:tblStylePr w:type="firstRow">
      <w:tblPr/>
      <w:tcPr>
        <w:tcBorders>
          <w:top w:val="single" w:sz="24" w:space="0" w:color="007CB0" w:themeColor="accent6"/>
        </w:tcBorders>
      </w:tcPr>
    </w:tblStylePr>
  </w:style>
  <w:style w:type="paragraph" w:customStyle="1" w:styleId="Resumeheadinginfo">
    <w:name w:val="Resume heading info"/>
    <w:basedOn w:val="Heading1"/>
    <w:next w:val="Normal"/>
    <w:rsid w:val="002A3CF5"/>
    <w:pPr>
      <w:outlineLvl w:val="9"/>
    </w:pPr>
    <w:rPr>
      <w:rFonts w:ascii="Calibri" w:hAnsi="Calibri"/>
      <w:b/>
      <w:bCs/>
      <w:color w:val="86BC25" w:themeColor="accent1"/>
      <w:sz w:val="20"/>
      <w:szCs w:val="28"/>
    </w:rPr>
  </w:style>
  <w:style w:type="paragraph" w:customStyle="1" w:styleId="TableBio">
    <w:name w:val="Table Bio"/>
    <w:basedOn w:val="Tabletext"/>
    <w:next w:val="Tabletext"/>
    <w:qFormat/>
    <w:rsid w:val="002A3CF5"/>
    <w:rPr>
      <w:rFonts w:asciiTheme="majorHAnsi" w:hAnsiTheme="majorHAnsi"/>
      <w:b/>
      <w:color w:val="86BC25" w:themeColor="accent1"/>
      <w:sz w:val="20"/>
    </w:rPr>
  </w:style>
  <w:style w:type="character" w:customStyle="1" w:styleId="TabletextChar">
    <w:name w:val="Table text Char"/>
    <w:basedOn w:val="DefaultParagraphFont"/>
    <w:link w:val="Tabletext"/>
    <w:rsid w:val="002A3CF5"/>
    <w:rPr>
      <w:sz w:val="18"/>
      <w:szCs w:val="20"/>
      <w:lang w:val="fr-CA"/>
    </w:rPr>
  </w:style>
  <w:style w:type="paragraph" w:customStyle="1" w:styleId="TableBioRole">
    <w:name w:val="Table Bio Role"/>
    <w:basedOn w:val="Tabletext"/>
    <w:qFormat/>
    <w:rsid w:val="002A3CF5"/>
    <w:pPr>
      <w:framePr w:hSpace="141" w:wrap="around" w:hAnchor="margin" w:y="-467"/>
      <w:pBdr>
        <w:top w:val="single" w:sz="12" w:space="1" w:color="E7F5CF" w:themeColor="accent1" w:themeTint="33"/>
      </w:pBdr>
      <w:shd w:val="clear" w:color="auto" w:fill="E7F5CF" w:themeFill="accent1" w:themeFillTint="33"/>
      <w:spacing w:line="240" w:lineRule="auto"/>
    </w:pPr>
    <w:rPr>
      <w:rFonts w:asciiTheme="majorHAnsi" w:hAnsiTheme="majorHAnsi"/>
      <w:b/>
      <w:color w:val="000000" w:themeColor="text1"/>
    </w:rPr>
  </w:style>
  <w:style w:type="paragraph" w:customStyle="1" w:styleId="ResumeHeading2">
    <w:name w:val="Resume Heading 2"/>
    <w:basedOn w:val="Heading2"/>
    <w:qFormat/>
    <w:rsid w:val="002A3CF5"/>
    <w:pPr>
      <w:spacing w:before="0" w:after="60"/>
    </w:pPr>
    <w:rPr>
      <w:b/>
      <w:bCs/>
      <w:color w:val="000000" w:themeColor="text1"/>
      <w:sz w:val="20"/>
    </w:rPr>
  </w:style>
  <w:style w:type="character" w:customStyle="1" w:styleId="Heading1Char">
    <w:name w:val="Heading 1 Char"/>
    <w:basedOn w:val="DefaultParagraphFont"/>
    <w:link w:val="Heading1"/>
    <w:uiPriority w:val="9"/>
    <w:rsid w:val="002A3CF5"/>
    <w:rPr>
      <w:rFonts w:asciiTheme="majorHAnsi" w:eastAsiaTheme="majorEastAsia" w:hAnsiTheme="majorHAnsi" w:cstheme="majorBidi"/>
      <w:color w:val="638C1B" w:themeColor="accent1" w:themeShade="BF"/>
      <w:sz w:val="32"/>
      <w:szCs w:val="32"/>
      <w:lang w:val="fr-CA"/>
    </w:rPr>
  </w:style>
  <w:style w:type="character" w:customStyle="1" w:styleId="Heading2Char">
    <w:name w:val="Heading 2 Char"/>
    <w:basedOn w:val="DefaultParagraphFont"/>
    <w:link w:val="Heading2"/>
    <w:uiPriority w:val="9"/>
    <w:semiHidden/>
    <w:rsid w:val="002A3CF5"/>
    <w:rPr>
      <w:rFonts w:asciiTheme="majorHAnsi" w:eastAsiaTheme="majorEastAsia" w:hAnsiTheme="majorHAnsi" w:cstheme="majorBidi"/>
      <w:color w:val="638C1B" w:themeColor="accent1" w:themeShade="BF"/>
      <w:sz w:val="26"/>
      <w:szCs w:val="26"/>
      <w:lang w:val="fr-CA"/>
    </w:rPr>
  </w:style>
  <w:style w:type="paragraph" w:styleId="Header">
    <w:name w:val="header"/>
    <w:basedOn w:val="Normal"/>
    <w:link w:val="HeaderChar"/>
    <w:uiPriority w:val="99"/>
    <w:unhideWhenUsed/>
    <w:rsid w:val="002A3CF5"/>
    <w:pPr>
      <w:tabs>
        <w:tab w:val="center" w:pos="4536"/>
        <w:tab w:val="right" w:pos="9072"/>
      </w:tabs>
      <w:spacing w:after="0"/>
    </w:pPr>
  </w:style>
  <w:style w:type="character" w:customStyle="1" w:styleId="HeaderChar">
    <w:name w:val="Header Char"/>
    <w:basedOn w:val="DefaultParagraphFont"/>
    <w:link w:val="Header"/>
    <w:uiPriority w:val="99"/>
    <w:rsid w:val="002A3CF5"/>
    <w:rPr>
      <w:sz w:val="20"/>
      <w:szCs w:val="20"/>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Default Theme">
  <a:themeElements>
    <a:clrScheme name="Deloitte 2020">
      <a:dk1>
        <a:sysClr val="windowText" lastClr="000000"/>
      </a:dk1>
      <a:lt1>
        <a:sysClr val="window" lastClr="FFFFFF"/>
      </a:lt1>
      <a:dk2>
        <a:srgbClr val="D0D0CE"/>
      </a:dk2>
      <a:lt2>
        <a:srgbClr val="53565A"/>
      </a:lt2>
      <a:accent1>
        <a:srgbClr val="86BC25"/>
      </a:accent1>
      <a:accent2>
        <a:srgbClr val="43B02A"/>
      </a:accent2>
      <a:accent3>
        <a:srgbClr val="26890D"/>
      </a:accent3>
      <a:accent4>
        <a:srgbClr val="046A38"/>
      </a:accent4>
      <a:accent5>
        <a:srgbClr val="0D8390"/>
      </a:accent5>
      <a:accent6>
        <a:srgbClr val="007CB0"/>
      </a:accent6>
      <a:hlink>
        <a:srgbClr val="00A3E0"/>
      </a:hlink>
      <a:folHlink>
        <a:srgbClr val="7F7F7F"/>
      </a:folHlink>
    </a:clrScheme>
    <a:fontScheme name="Deloitte Font 2020">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FCFB3-659D-4384-A250-4986051C8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999</Words>
  <Characters>5495</Characters>
  <Application>Microsoft Office Word</Application>
  <DocSecurity>0</DocSecurity>
  <Lines>45</Lines>
  <Paragraphs>12</Paragraphs>
  <ScaleCrop>false</ScaleCrop>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Ghajati, Fadhel</dc:creator>
  <cp:keywords/>
  <dc:description/>
  <cp:lastModifiedBy>Ghajati, Fadhel</cp:lastModifiedBy>
  <cp:revision>2</cp:revision>
  <dcterms:created xsi:type="dcterms:W3CDTF">2021-07-27T11:13:00Z</dcterms:created>
  <dcterms:modified xsi:type="dcterms:W3CDTF">2021-07-27T11:18:00Z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2021-07-27T11:13:19Z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88a7c6e4-22d2-4408-8bb3-927f6624d5ec</vt:lpwstr>
  </property>
  <property fmtid="{D5CDD505-2E9C-101B-9397-08002B2CF9AE}" pid="8" name="MSIP_Label_ea60d57e-af5b-4752-ac57-3e4f28ca11dc_ContentBits">
    <vt:lpwstr>0</vt:lpwstr>
  </property>
</Properties>
</file>