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800"/>
      </w:pPr>
      <w:r>
        <w:rPr>
          <w:rFonts w:ascii="Times New Roman" w:cs="Times New Roman" w:eastAsia="Times New Roman" w:hAnsi="Times New Roman"/>
          <w:b/>
          <w:bCs/>
          <w:color w:val="16202B"/>
          <w:sz w:val="40"/>
          <w:szCs w:val="40"/>
        </w:rPr>
        <w:t xml:space="preserve">Глава 11 Нормативов № 85: лимиты в целях минимизации рисков</w:t>
      </w:r>
    </w:p>
    <w:p>
      <w:pPr>
        <w:spacing w:after="80"/>
      </w:pPr>
      <w:r>
        <w:rPr>
          <w:rFonts w:ascii="Times New Roman" w:cs="Times New Roman" w:eastAsia="Times New Roman" w:hAnsi="Times New Roman"/>
          <w:color w:val="5B6B7A"/>
          <w:sz w:val="25"/>
          <w:szCs w:val="25"/>
        </w:rPr>
        <w:t xml:space="preserve">Полный разбор пп. 98–108 применительно к периметру БРМ</w:t>
      </w:r>
    </w:p>
    <w:p>
      <w:pPr>
        <w:spacing w:after="200"/>
      </w:pPr>
      <w:r>
        <w:rPr>
          <w:rFonts w:ascii="Times New Roman" w:cs="Times New Roman" w:eastAsia="Times New Roman" w:hAnsi="Times New Roman"/>
          <w:color w:val="5B6B7A"/>
          <w:sz w:val="18"/>
          <w:szCs w:val="18"/>
        </w:rPr>
        <w:t xml:space="preserve">БРМ, АО «Евразийский банк» · рабочий контур docs/analysis/npl_limits · версия 0.3 от 19.08.2026</w:t>
      </w:r>
    </w:p>
    <w:p>
      <w:pPr>
        <w:spacing w:after="180" w:line="300"/>
        <w:jc w:val="both"/>
      </w:pPr>
      <w:r>
        <w:rPr>
          <w:rFonts w:ascii="Times New Roman" w:cs="Times New Roman" w:eastAsia="Times New Roman" w:hAnsi="Times New Roman"/>
          <w:i/>
          <w:iCs/>
          <w:color w:val="3C4A56"/>
          <w:sz w:val="22"/>
          <w:szCs w:val="22"/>
        </w:rPr>
        <w:t xml:space="preserve">Постановление Правления АРРФР от 28.04.2026 № 85 устанавливает главой 11 восемь лимитов в целях минимизации рисков банков (п. 3 ст. 72 Закона о банках). Пять из восьми — кредитные и относятся к периметру БРМ. Формулы в исходном документе вставлены изображениями; здесь они перепечатаны и перед официальным цитированием подлежат сверке с зарегистрированной редакцией.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1. Восемь лимитов п. 98 и распределение ответственности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пп.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Периметр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Владелец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по основному долгу и (или) вознаграждению свыше 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займов с просрочкой 61–90 дней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неработающих займов к ссудному портфелю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весь портфель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увеличение доли неработающей дебиторской задолженности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дебиторка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5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коэффициента рентабельности активов (ROA)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банк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6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отношения среднемесячных операций РЕПО к обязательствам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казначейство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вне 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7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потребзаймов 90+ в общей сумме потребзаймов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8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доля заёмщиков с потреб-90+ в общем числе потребзаёмщиков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потребкредиты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п. 98, часть первая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Определения (п. 98, часть вторая)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Займы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выданные банкам и организациям, осуществляющим отдельные виды банковских операций, физическим лицам (включая ИП), юридическим лицам (включая МСБ),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операции «обратное РЕПО»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Расчёт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gross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: без счетов дисконтов и премий, корректировок и провизий, сформированных по МСФО.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Неработающие займы (НЗ)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— займы с признаками обесценения по критериям МСФО и Правил № 61 (от 29.09.2025, рег. № 36994)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плюс POCI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. По существу — Stage 3 + POCI, gross.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Потребительский заём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(для лимитов 7 и 8) — не ипотечный, физическому лицу, на цели вне предпринимательской деятельности, балансовые и внебалансовые счета.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2. Триггеры (п. 107) и целевые уровни (п. 104)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Лимит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Триггер по п. 107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Целевой уровень по п. 104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строгий рост семи последовательных месячных точек (ЗП90₆ &gt; ЗП90₅ &gt; … &gt; ЗП90₀) или прирост ≥ 5 % за период без монотонности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 же две конструкции по ряду ЗП61-90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≤ 10 % (пп. 1)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на конец периода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снижение до уровня менее 10 % (пп. 2)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рост доли шесть месяцев подряд или ≥ 5 п.п. за период; не применяется при росте из-за снижения совокупной дебиторки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≤ 50 % (пп. 3)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98-5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ниже 0,2 % два и более раза за 6 месяцев; применяется только при k1 ≤ 0,10 или k2 ≤ 0,13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ROA ≥ 0,2 % (пп. 4)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98-6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отношение среднемесячных РЕПО к среднемесячным обязательствам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35 % с 01.01.2026; &lt; 25 % с 01.07.2026 (пп. 5)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98-7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Ккпз = НПЛпз / Спз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суммы потребзаймов (пп. 6)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98-8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Ккзнбпз = КЗнпз / КЗобщ × 100 % ≥ 10 %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10 % числа потребзаёмщиков (пп. 7; о дефекте формулировки — раздел 6)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104, 107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К СВЕДЕНИЮ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 98-5 (ROA) применяется только к банку с k1 ≤ 10 % или k2 ≤ 13 % (п. 107 пп. 6, часть последняя). При k1 = 19,9 % и k2 = 22,9 % (форма 50 на 01.07.2026) ворота не пройдены — лимит ROA к Банку сейчас неприменим.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3. Негативное влияние на качество портфеля (п. 105)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Смысл: если динамика последних шести месяцев по лимитам 98-1/98-2 продолжится двенадцать месяцев, пробьёт ли НЗ/СП уровень 10 %. Механика — линейная экстраполяция удвоением полугодового прироста. Индексация: точка 0 — начало окна (шесть месяцев назад), точка 6 — конец отчётного месяца.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98-1 (рост 90+); экстраполируется только компонента 90+, а «не-90+» часть НЗ держится константой: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ЗП90₁₂ = (ЗП90₆ − ЗП90₀) × 2 + ЗП90₆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[ЗП90₁₂ + (НЗ₆ − ЗП90₆)] / СП₁₂  ≥  10 %</w:t>
            </w:r>
          </w:p>
        </w:tc>
      </w:tr>
    </w:tbl>
    <w:p>
      <w:pPr>
        <w:spacing w:after="160"/>
      </w:pP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Для 98-2 (миграция 61–90 в 90+):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F5F7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ЗП61-90₁₂ = (ЗП61-90₆ − ЗП61-90₀) × 2 + ЗП61-90₆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СП₁₂     = (СП₆ − СП₀) × 2 + СП₆</w:t>
            </w:r>
          </w:p>
          <w:p>
            <w:pPr>
              <w:spacing w:after="30" w:before="0"/>
            </w:pPr>
            <w:r>
              <w:rPr>
                <w:rFonts w:ascii="Courier New" w:cs="Courier New" w:eastAsia="Courier New" w:hAnsi="Courier New"/>
                <w:color w:val="16202B"/>
                <w:sz w:val="17"/>
                <w:szCs w:val="17"/>
              </w:rPr>
              <w:t xml:space="preserve">негативное влияние:  (ЗП90₆ + ЗП61-90₁₂) / СП₁₂  ≥  10 %</w:t>
            </w:r>
          </w:p>
        </w:tc>
      </w:tr>
    </w:tbl>
    <w:p>
      <w:pPr>
        <w:spacing w:after="160"/>
      </w:pP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СЛЕДСТВИЕ ДЛЯ БРМ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Лимиты 98-1 и 98-2 — опережающие индикаторы 98-3, встроенные самим регулятором. Ежемесячный мониторинг этих двух рядов — готовая система раннего предупреждения по НЗ/СП; разработка СРП и триггеров — прямая обязанность подразделения по управлению рисками (п. 34 пп. 5, 6 Правил № 86).</w:t>
            </w:r>
          </w:p>
        </w:tc>
      </w:tr>
    </w:tbl>
    <w:p>
      <w:pPr>
        <w:spacing w:after="180"/>
      </w:pP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4. Процедура при превышении (пп. 99–103)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Шаг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Содержание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Выявление регулятором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выявляет превышение уровней п. 104 — банк и (или) акционеры, банковский холдинг, крупные участники разрабатывают и представляют план мероприятий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Самостоятельное выявление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представляется в течение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5 рабочих дней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 со дня выявления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Защита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99, часть третья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представленном плане превышение не рассматривается как нарушение лимита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Согласование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99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АРРФР согласует план в течение 10 рабочих дней со дня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Замечания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100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при несогласии — письменные замечания и (или) совместные обсуждения; банк корректирует план в указанные сроки либо представляет письменные обоснования несогласия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Одобрение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письменное одобрение или неодобрение в срок до 30 рабочих дней с даты представления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Освобождение от плана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98-1/98-2 — при отсутствии негативного влияния по п. 105 и отсутствии сработки 98-3, либо при сработке 98-3 (всё сворачивается в один план); по 98-1 и 98-5 — если превышение выявлено ежегодным стресс-тестированием по сценариям АРРФР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11, пп. 99–103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Обязательный состав плана (п. 99, часть вторая, «не ограничиваясь»)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детальный анализ Лимита;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прогноз Лимита, обоснование прогноза и негативные влияния на деятельность банка;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меры по улучшению — доведение до уровня, не представляющего угрозу и не создающего дополнительных рисков;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для 98-3 — мероприятия по каждому отчётному периоду, в том числе в разрезе физических и юридических лиц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(обязательный разрез);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сроки исполнения по каждому пункту плана;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перечень руководящих работников, ответственных за исполнение по каждому пункту плана.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5. Мониторинг и стресс-тестирование (пп. 106, 108)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106: АРРФР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ежемесячно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анализирует деятельность банка по отчётности для определения лимитов. Внутренний расчёт должен опережать регуляторный цикл, а не догонять его.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П. 108: для банков из списков системно значимых и потенциально системно значимых (Постановление НБ РК № 240) факторы 98-1 и 98-5 дополняются сценариями АРРФР: сценарии — до 1 февраля, стресс-тест и представление результатов — до 1 апреля. Статус Банка — открытый вопрос (Г12 контура risk_appetite).</w:t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6. Дефекты текста главы (Н1–Н4)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Наблюдения по тексту предоставленной редакции; перед официальной перепиской сверить с зарегистрированной редакцией. Практическое следствие: в плане мероприятий ссылаться на пункты по смыслу, не воспроизводя битые перекрёстные ссылки дословно.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4434"/>
        <w:gridCol w:w="3085"/>
      </w:tblGrid>
      <w:tr>
        <w:trPr>
          <w:tblHeader/>
        </w:trP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Код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Место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Наблюдение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Н1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103 пп. 1; п. 104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«подпункты 1) и 2) части первой пункта 99» — у п. 99 подпунктов нет; по смыслу — п. 98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Н2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102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ссылка на «план мероприятий, предусмотренный частью второй пункта 98» — состав плана установлен частью второй п. 99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Н3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104 пп. 7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метрика по количеству заёмщиков доводится «до уровня менее 10 % от общей суммы потребительских займов» — знаменатель перенесён из пп. 6 копированием</w:t>
            </w:r>
          </w:p>
        </w:tc>
      </w:tr>
      <w:tr>
        <w:tc>
          <w:tcPr>
            <w:tcW w:type="dxa" w:w="2121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Н4</w:t>
            </w:r>
          </w:p>
        </w:tc>
        <w:tc>
          <w:tcPr>
            <w:tcW w:type="dxa" w:w="4434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п. 107 пп. 1</w:t>
            </w:r>
          </w:p>
        </w:tc>
        <w:tc>
          <w:tcPr>
            <w:tcW w:type="dxa" w:w="3085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текст: рост «на 5 и более процентных пунктов»; формула — относительный прирост ≥ 5 %; в пп. 2 та же конструкция названа «процентов»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Нормативы № 85 от 28.04.2026 (рег. № 38587), глава 11 · сверка текста и формул выполнена 18.08.2026</w:t>
      </w:r>
    </w:p>
    <w:p>
      <w:r>
        <w:br w:type="page"/>
      </w: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7. Лестница эскалации: глава 11 → раздел 6 Закона № 258-VIII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Новый Закон о банках (№ 258-VIII от 16.01.2026, в силе с 19.03.2026) устанавливает разделом 6 три антикризисных режима. Сверено с полным текстом закона (редакция на 25.08.2026). Ниже — как лимит 98-3 встроен в эту лестницу.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Ступень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Норма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Основание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Что происходит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0. Штатный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глава 11 Нормативов № 85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≥ 10 % при представленном плане мероприятий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превышение «не рассматривается как нарушение» (п. 99)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1. Признаки ухудшения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85 Закона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шесть категорий признаков; значения — НПА АРРФР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регулятор выбирает режим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2. Усиленный надзор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87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по решению АРРФР, цель — предотвратить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девять полномочий сверх мер ст. 78; решение конфиденциально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3. Восстановление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88–89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существенное ухудшение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план восстановления ≤ 12 месяцев, без госсредств; плюс требования к структуре активов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4. Урегулирование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ст. 90–95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неплатежеспособность или её угроза (оценка жизнеспособности, ст. 91)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временная администрация, инструменты урегулирования, принудительная продажа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Закон РК № 258-VIII от 16.01.2026, раздел 6 · сверка 19.08.2026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Признаки ухудшения (ст. 85 п. 2)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снижение значений пруденциальных нормативов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и лимитов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 (капитал, ликвидность, макропруденциальные лимиты НБ РК);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денежных обязательств перед депозиторами и кредиторами из-за отсутствия или недостаточности денег;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факты (сделки), достоверное отражение которых в отчётности может привести к нарушению коэффициентов капитала или неисполнению обязательств;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недостатки и (или) риски, выявленные надзором;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неисполнение плана восстановления финансовой устойчивости;</w:t>
      </w:r>
    </w:p>
    <w:p>
      <w:pPr>
        <w:pStyle w:val="ListParagraph"/>
        <w:numPr>
          <w:ilvl w:val="0"/>
          <w:numId w:val="2"/>
        </w:numPr>
        <w:spacing w:after="110" w:line="29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иные признаки по НПА уполномоченного органа. Значения утверждены постановлением АРРФР от 07.08.2026 № 119 (рег. № 39529): 26 количественных показателей шести категорий (капитал, кредитный риск, ликвидность, валютный риск, прибыльность, рейтинги) плюс качественные признаки; кредитный блок — таблица ниже.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Пороговые значения кредитного риска (№ 119, приложение 1)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8"/>
        <w:gridCol w:w="3662"/>
        <w:gridCol w:w="1350"/>
        <w:gridCol w:w="1350"/>
      </w:tblGrid>
      <w:tr>
        <w:trPr>
          <w:tblHeader/>
        </w:trP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Показатель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Тип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Усиленный надзор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Восстановление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Доля кредитов 3 стадии и ПСКО (ДС3), разово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20 %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ДС3 шесть последовательных месяцев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основной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10 % при КПП &lt; 40 % (оба условия все 6 мес.)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≥ 15 % при КПП &lt; 40 %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Мгновенный рост ДС3 за месяц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+4…+6 п.п.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свыше +6 п.п.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Уплаченное/начисленное вознаграждение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75 %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&lt; 60 %</w:t>
            </w:r>
          </w:p>
        </w:tc>
      </w:tr>
      <w:tr>
        <w:tc>
          <w:tcPr>
            <w:tcW w:type="dxa" w:w="3278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Топ-20 к основному капиталу</w:t>
            </w:r>
          </w:p>
        </w:tc>
        <w:tc>
          <w:tcPr>
            <w:tcW w:type="dxa" w:w="3662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вспомогательный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—</w:t>
            </w:r>
          </w:p>
        </w:tc>
        <w:tc>
          <w:tcPr>
            <w:tcW w:type="dxa" w:w="1350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&gt; 200 % при доле стадии 3 в топ-20 &gt; 10 %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АРРФР № 119 от 07.08.2026 (рег. № 39529), приложения 1 и 2; ДС3 = (кредиты 3 стадии + ПСКО)/ссудный портфель gross, КПП = провизии 3 стадии/(кредиты 3 стадии + ПСКО). Отклонение одного основного показателя — достаточное основание режима (п. 5); мониторинг ежемесячный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Качественные признаки № 119: для усиленного надзора — существенные недостатки корпоративного управления и СУР, искажения отчётности, иные надзорные находки (п. 15); </w:t>
      </w:r>
      <w:r>
        <w:rPr>
          <w:rFonts w:ascii="Times New Roman" w:cs="Times New Roman" w:eastAsia="Times New Roman" w:hAnsi="Times New Roman"/>
          <w:b/>
          <w:bCs/>
          <w:color w:val="16202B"/>
          <w:sz w:val="21"/>
          <w:szCs w:val="21"/>
        </w:rPr>
        <w:t xml:space="preserve">неисполнение мер по ст. 80 Закона, включая план мероприятий, — основание сразу для режима восстановления (п. 16 пп. 6)</w:t>
      </w: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; неисполнение или неэффективность плана восстановления — для урегулирования (п. 17 пп. 7).</w:t>
      </w:r>
    </w:p>
    <w:p>
      <w:pPr>
        <w:pStyle w:val="Heading2"/>
        <w:spacing w:after="110" w:before="280"/>
      </w:pPr>
      <w:r>
        <w:rPr>
          <w:rFonts w:ascii="Times New Roman" w:cs="Times New Roman" w:eastAsia="Times New Roman" w:hAnsi="Times New Roman"/>
          <w:b/>
          <w:bCs/>
          <w:color w:val="16202B"/>
          <w:sz w:val="23"/>
          <w:szCs w:val="23"/>
        </w:rPr>
        <w:t xml:space="preserve">Полномочия АРРФР в режиме усиленного надзора (ст. 87 п. 2)</w:t>
      </w:r>
    </w:p>
    <w:p>
      <w:pPr>
        <w:spacing w:after="140" w:line="300"/>
        <w:jc w:val="both"/>
      </w:pPr>
      <w:r>
        <w:rPr>
          <w:rFonts w:ascii="Times New Roman" w:cs="Times New Roman" w:eastAsia="Times New Roman" w:hAnsi="Times New Roman"/>
          <w:color w:val="16202B"/>
          <w:sz w:val="21"/>
          <w:szCs w:val="21"/>
        </w:rPr>
        <w:t xml:space="preserve">Сверх обычных мер надзорного реагирования (ст. 78), в форме письменного предписания: отчётность с индивидуальной периодичностью, в том числе через витрину данных (пп. 1 приостановлен до 01.01.2027); оценка финансового и имущественного состояния с посещением банка и внешними оценщиками за счёт банка; анализ устойчивости к неблагоприятным макроусловиям; требование актуализации плана восстановления; требование мер от банка, крупных участников и холдинга вплоть до докапитализации; приостановление отдельных операций и сделок внутри конгломерата; улучшение корпоративного управления и СУР. Отдельно: поправки Закона № 306-VIII от 11.06.2026 в Закон о банках терминологические (ст. 1 п. 77) и статей 72, 78–92 не затрагивают.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40"/>
      </w:tblGrid>
      <w:tr>
        <w:tc>
          <w:tcPr>
            <w:tcW w:type="dxa" w:w="9640"/>
            <w:tcBorders>
              <w:top w:val="none" w:color="FFFFFF" w:sz="0"/>
              <w:left w:val="single" w:color="1C5B57" w:sz="18"/>
              <w:bottom w:val="none" w:color="FFFFFF" w:sz="0"/>
              <w:right w:val="none" w:color="FFFFFF" w:sz="0"/>
            </w:tcBorders>
            <w:shd w:fill="F2F7F6" w:color="auto" w:val="clear"/>
            <w:tcMar>
              <w:top w:type="dxa" w:w="120"/>
              <w:left w:type="dxa" w:w="18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C5B57"/>
                <w:spacing w:val="24"/>
                <w:sz w:val="15"/>
                <w:szCs w:val="15"/>
              </w:rPr>
              <w:t xml:space="preserve">СЛЕДСТВИЯ ДЛЯ КЕЙСА 98-3</w:t>
            </w:r>
          </w:p>
          <w:p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Сработка 98-3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без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представленного плана — прямой вход в признак ст. 85 п. 2 пп. 1 «снижение значений пруденциальных нормативов и лимитов»; щит п. 99 главы 11 удерживает банк на ступени 0, и пятидневный срок п. 102 — цена этого щита. Выход из усиленного надзора — только после устранения оснований и </w:t>
            </w:r>
            <w:r>
              <w:rPr>
                <w:rFonts w:ascii="Times New Roman" w:cs="Times New Roman" w:eastAsia="Times New Roman" w:hAnsi="Times New Roman"/>
                <w:b/>
                <w:bCs/>
                <w:color w:val="16202B"/>
                <w:sz w:val="19"/>
                <w:szCs w:val="19"/>
              </w:rPr>
              <w:t xml:space="preserve">шести последовательных месяцев</w:t>
            </w:r>
            <w:r>
              <w:rPr>
                <w:rFonts w:ascii="Times New Roman" w:cs="Times New Roman" w:eastAsia="Times New Roman" w:hAnsi="Times New Roman"/>
                <w:color w:val="16202B"/>
                <w:sz w:val="19"/>
                <w:szCs w:val="19"/>
              </w:rPr>
              <w:t xml:space="preserve"> соблюдения всех нормативов и лимитов (ст. 87 п. 6). Решение о режиме конфиденциально (ст. 87 п. 4). Отдельно: план восстановления финансовой устойчивости (ст. 88) обязателен постоянно, актуализируется ежегодно, без госсредств, срок реализации до 12 месяцев — проверить его актуальность у владельца в банке; его неисполнение — самостоятельный признак ухудшения (ст. 85 п. 2 пп. 5).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16202B" w:sz="12" w:space="6"/>
        </w:pBdr>
        <w:spacing w:after="160" w:before="360"/>
      </w:pPr>
      <w:r>
        <w:rPr>
          <w:rFonts w:ascii="Times New Roman" w:cs="Times New Roman" w:eastAsia="Times New Roman" w:hAnsi="Times New Roman"/>
          <w:b/>
          <w:bCs/>
          <w:color w:val="16202B"/>
          <w:sz w:val="28"/>
          <w:szCs w:val="28"/>
        </w:rPr>
        <w:t xml:space="preserve">8. Стыки с внутренней нормативной базой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77"/>
        <w:gridCol w:w="3663"/>
      </w:tblGrid>
      <w:tr>
        <w:trPr>
          <w:tblHeader/>
        </w:trP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Внутренний контур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shd w:fill="EEF3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/>
                <w:color w:val="5B6B7A"/>
                <w:sz w:val="17"/>
                <w:szCs w:val="17"/>
              </w:rPr>
              <w:t xml:space="preserve">Стык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Заявление РА (Приложение № 3 к Политике)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зеркала НЗ/СП среди 14 кредитных метрик нет — кандидат № 1 на включение при пересмотре уровней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п. 34 пп. 5, 6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БРМ разрабатывает системы раннего предупреждения и триггеры — ряды 98-1/98-2 дают готовую конструкцию СРП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86, отчёт по ВПОДК, Таблица 2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графы 9–10 (случаи достижения уровня и длительность) — сработка 98-3 подлежит отражению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Правила № 61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критерии обесценения задают периметр НЗ; стык с контуром Stage 3</w:t>
            </w:r>
          </w:p>
        </w:tc>
      </w:tr>
      <w:tr>
        <w:tc>
          <w:tcPr>
            <w:tcW w:type="dxa" w:w="5977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caps w:val="false"/>
                <w:color w:val="16202B"/>
                <w:sz w:val="19"/>
                <w:szCs w:val="19"/>
              </w:rPr>
              <w:t xml:space="preserve">Форма 50</w:t>
            </w:r>
          </w:p>
        </w:tc>
        <w:tc>
          <w:tcPr>
            <w:tcW w:type="dxa" w:w="3663"/>
            <w:tcBorders>
              <w:top w:val="single" w:color="C8D2DA" w:sz="4"/>
              <w:left w:val="single" w:color="C8D2DA" w:sz="4"/>
              <w:bottom w:val="single" w:color="C8D2DA" w:sz="4"/>
              <w:right w:val="single" w:color="C8D2DA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caps w:val="false"/>
                <w:color w:val="16202B"/>
                <w:sz w:val="19"/>
                <w:szCs w:val="19"/>
              </w:rPr>
              <w:t xml:space="preserve">НЗ/СП в отчёте об уровнях РА отсутствует; появится в сводном листе после включения в заявление РА</w:t>
            </w:r>
          </w:p>
        </w:tc>
      </w:tr>
    </w:tbl>
    <w:p>
      <w:pPr>
        <w:spacing w:after="220" w:before="80"/>
      </w:pPr>
      <w:r>
        <w:rPr>
          <w:rFonts w:ascii="Times New Roman" w:cs="Times New Roman" w:eastAsia="Times New Roman" w:hAnsi="Times New Roman"/>
          <w:i/>
          <w:iCs/>
          <w:color w:val="5B6B7A"/>
          <w:sz w:val="16"/>
          <w:szCs w:val="16"/>
        </w:rPr>
        <w:t xml:space="preserve">Сопоставление с ВНД Банка — по картам контуров risk_appetite и npl_limits</w:t>
      </w: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2026-08-19T11:43:54.827Z</dcterms:created>
  <dcterms:modified xsi:type="dcterms:W3CDTF">2026-08-19T11:43:54.839Z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