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Зонирование кредитных метрик риск-аппетита: пересчёт уровня по топ-20, зоны наблюдения и триггеры</w:t>
      </w:r>
    </w:p>
    <w:p>
      <w:pPr>
        <w:jc w:val="both"/>
      </w:pPr>
      <w:r>
        <w:rPr>
          <w:color w:val="0B0B0B"/>
        </w:rPr>
        <w:t>Аналитическая записка, версия 0.7, 17.09.2026. Заменяет v0.5, которая считалась на квартальных рядах из девяти точек и утверждала, что уровень по топ-20 нарушен; на месячных рядах из тридцати шести точек этот вывод не подтверждается.</w:t>
      </w:r>
    </w:p>
    <w:p>
      <w:pPr>
        <w:jc w:val="both"/>
      </w:pPr>
      <w:r>
        <w:rPr>
          <w:b/>
          <w:color w:val="0B0B0B"/>
        </w:rPr>
        <w:t>Что выносится на решение:</w:t>
      </w:r>
      <w:r>
        <w:rPr>
          <w:color w:val="0B0B0B"/>
        </w:rPr>
        <w:t xml:space="preserve"> пересчитанный уровень по метрике топ-20 и принятие лестничной разметки зон с триггерами на движение. Записка не устанавливает уровни риск-аппетита — она размечает пространство внутри уже установленных.</w:t>
      </w:r>
    </w:p>
    <w:p>
      <w:pPr>
        <w:pStyle w:val="Heading2"/>
      </w:pPr>
      <w:r>
        <w:t>1. Метрика топ-20 и когда она изменилась</w:t>
      </w:r>
    </w:p>
    <w:p>
      <w:pPr>
        <w:jc w:val="both"/>
      </w:pPr>
      <w:r>
        <w:rPr>
          <w:color w:val="0B0B0B"/>
        </w:rPr>
        <w:t xml:space="preserve">Коэффициент отношения суммы двадцати крупнейших заёмщиков к собственному капиталу. Уровень — </w:t>
      </w:r>
      <w:r>
        <w:rPr>
          <w:b/>
          <w:color w:val="0B0B0B"/>
        </w:rPr>
        <w:t>не более 95 %</w:t>
      </w:r>
      <w:r>
        <w:rPr>
          <w:color w:val="0B0B0B"/>
        </w:rPr>
        <w:t>, установлен Приложением № 3 к Политике. Ни один нормативный правовой акт этого числа не задаёт: k3 = 25 % и k3-1 = 10 % главы Нормативов № 85 ограничивают риск на одного заёмщика, а не на двадцать в совокупности.</w:t>
      </w:r>
    </w:p>
    <w:p>
      <w:pPr>
        <w:jc w:val="both"/>
      </w:pPr>
      <w:r>
        <w:rPr>
          <w:color w:val="0B0B0B"/>
        </w:rPr>
        <w:t>С 11.05.2016 по 13.02.2023 уровень составлял 250 %, с 20.02.2023 — 95 %.</w:t>
      </w:r>
    </w:p>
    <w:p>
      <w:pPr>
        <w:jc w:val="both"/>
      </w:pPr>
      <w:r>
        <w:rPr>
          <w:b/>
          <w:color w:val="0B0B0B"/>
        </w:rPr>
        <w:t>С 01.2026 изменилась база расчёта собственного капитала.</w:t>
      </w:r>
      <w:r>
        <w:rPr>
          <w:color w:val="0B0B0B"/>
        </w:rPr>
        <w:t xml:space="preserve"> Последний месяц, в котором показатель считался в обеих базах, — январь 2026 года.</w:t>
      </w:r>
    </w:p>
    <w:p>
      <w:pPr>
        <w:pStyle w:val="Heading2"/>
      </w:pPr>
      <w:r>
        <w:t>2. Менялся только знаменатель</w:t>
      </w:r>
    </w:p>
    <w:p>
      <w:pPr>
        <w:jc w:val="both"/>
      </w:pPr>
      <w:r>
        <w:rPr>
          <w:color w:val="0B0B0B"/>
        </w:rPr>
        <w:t xml:space="preserve">Числитель метрики — сумма задолженности двадцати крупнейших заёмщиков — не менялся ни по составу, ни по правилу расчёта. Изменилось </w:t>
      </w:r>
      <w:r>
        <w:rPr>
          <w:b/>
          <w:color w:val="0B0B0B"/>
        </w:rPr>
        <w:t>определение балансового собственного капитала</w:t>
      </w:r>
      <w:r>
        <w:rPr>
          <w:color w:val="0B0B0B"/>
        </w:rPr>
        <w:t>, то есть знаменателя.</w:t>
      </w:r>
    </w:p>
    <w:p>
      <w:pPr>
        <w:jc w:val="both"/>
      </w:pPr>
      <w:r>
        <w:rPr>
          <w:color w:val="0B0B0B"/>
        </w:rPr>
        <w:t xml:space="preserve">Коэффициент вырос механически: </w:t>
      </w:r>
      <w:r>
        <w:rPr>
          <w:b/>
          <w:color w:val="0B0B0B"/>
        </w:rPr>
        <w:t>без изменения портфеля и без изменения концентрации</w:t>
      </w:r>
      <w:r>
        <w:rPr>
          <w:color w:val="0B0B0B"/>
        </w:rPr>
        <w:t xml:space="preserve">. На 01.07.2026 он составляет </w:t>
      </w:r>
      <w:r>
        <w:rPr>
          <w:b/>
          <w:color w:val="0B0B0B"/>
        </w:rPr>
        <w:t>101,50 %</w:t>
      </w:r>
      <w:r>
        <w:rPr>
          <w:color w:val="0B0B0B"/>
        </w:rPr>
        <w:t>, и в выводах отчёта это записано как перелимит 6,50 процентных пункта.</w:t>
      </w:r>
    </w:p>
    <w:p>
      <w:pPr>
        <w:jc w:val="both"/>
      </w:pPr>
      <w:r>
        <w:rPr>
          <w:color w:val="0B0B0B"/>
        </w:rPr>
        <w:t>Формулировка «пробит лимит 95 %» здесь является категориальной ошибкой: показатель и уровень измерены в разных системах — уровень поставлен в 2023 году на прежнем определении капитала, показатель посчитан на новом.</w:t>
      </w:r>
    </w:p>
    <w:p>
      <w:pPr>
        <w:pStyle w:val="Heading2"/>
      </w:pPr>
      <w:r>
        <w:t>3. Значит, уровень надо перенести пропорционально</w:t>
      </w:r>
    </w:p>
    <w:p>
      <w:pPr>
        <w:jc w:val="both"/>
      </w:pPr>
      <w:r>
        <w:rPr>
          <w:color w:val="0B0B0B"/>
        </w:rPr>
        <w:t>Отношение новой базы капитала к прежней на последней точке, где есть обе:</w:t>
      </w:r>
    </w:p>
    <w:p>
      <w:pPr>
        <w:ind w:left="480"/>
      </w:pPr>
      <w:r>
        <w:rPr>
          <w:b/>
          <w:i/>
          <w:color w:val="5A5A5A"/>
        </w:rPr>
        <w:t>0,874525</w:t>
      </w:r>
    </w:p>
    <w:p>
      <w:pPr>
        <w:jc w:val="both"/>
      </w:pPr>
      <w:r>
        <w:rPr>
          <w:color w:val="0B0B0B"/>
        </w:rPr>
        <w:t>Применяем его к уровню:</w:t>
      </w:r>
    </w:p>
    <w:p>
      <w:pPr>
        <w:ind w:left="480"/>
      </w:pPr>
      <w:r>
        <w:rPr>
          <w:b/>
          <w:i/>
          <w:color w:val="5A5A5A"/>
        </w:rPr>
        <w:t>95 % / 0,874525 = 108,63 %</w:t>
      </w:r>
    </w:p>
    <w:p>
      <w:pPr>
        <w:jc w:val="both"/>
      </w:pPr>
      <w:r>
        <w:rPr>
          <w:b/>
          <w:color w:val="0B0B0B"/>
        </w:rPr>
        <w:t>Это не два лимита и не послабление.</w:t>
      </w:r>
      <w:r>
        <w:rPr>
          <w:color w:val="0B0B0B"/>
        </w:rPr>
        <w:t xml:space="preserve"> Одна и та же величина, выраженная в двух системах измерения. Как расстояние в километрах и милях: число разное, расстояние то же.</w:t>
      </w:r>
    </w:p>
    <w:p>
      <w:pPr>
        <w:jc w:val="both"/>
      </w:pPr>
      <w:r>
        <w:rPr>
          <w:color w:val="0B0B0B"/>
        </w:rPr>
        <w:t xml:space="preserve">При уровне 108,63 % фактическое значение 101,50 % </w:t>
      </w:r>
      <w:r>
        <w:rPr>
          <w:b/>
          <w:color w:val="0B0B0B"/>
        </w:rPr>
        <w:t>не является превышением</w:t>
      </w:r>
      <w:r>
        <w:rPr>
          <w:color w:val="0B0B0B"/>
        </w:rPr>
        <w:t>.</w:t>
      </w:r>
    </w:p>
    <w:p>
      <w:pPr>
        <w:ind w:left="480"/>
      </w:pPr>
      <w:r>
        <w:rPr>
          <w:i/>
          <w:color w:val="5A5A5A"/>
        </w:rPr>
        <w:t xml:space="preserve">⚠ </w:t>
      </w:r>
      <w:r>
        <w:rPr>
          <w:b/>
          <w:i/>
          <w:color w:val="5A5A5A"/>
        </w:rPr>
        <w:t>Возражение, которое надо произнести раньше, чем его произнесут нам.</w:t>
      </w:r>
      <w:r>
        <w:rPr>
          <w:i/>
          <w:color w:val="5A5A5A"/>
        </w:rPr>
        <w:t xml:space="preserve"> Пересчёт уровня</w:t>
      </w:r>
    </w:p>
    <w:p>
      <w:pPr>
        <w:ind w:left="480"/>
      </w:pPr>
      <w:r>
        <w:rPr>
          <w:i/>
          <w:color w:val="5A5A5A"/>
        </w:rPr>
        <w:t>снимает текущий перелимит. Если якорную дату выбирать после того, как посмотрели на факт,</w:t>
      </w:r>
    </w:p>
    <w:p>
      <w:pPr>
        <w:ind w:left="480"/>
      </w:pPr>
      <w:r>
        <w:rPr>
          <w:i/>
          <w:color w:val="5A5A5A"/>
        </w:rPr>
        <w:t>это подгонка уровня под результат, и служба внутреннего аудита вправе так и прочитать.</w:t>
      </w:r>
    </w:p>
    <w:p>
      <w:pPr>
        <w:ind w:left="480"/>
      </w:pPr>
      <w:r>
        <w:rPr>
          <w:i/>
          <w:color w:val="5A5A5A"/>
        </w:rPr>
        <w:t xml:space="preserve">Защита процедурная и единственная: якорь фиксируется </w:t>
      </w:r>
      <w:r>
        <w:rPr>
          <w:b/>
          <w:i/>
          <w:color w:val="5A5A5A"/>
        </w:rPr>
        <w:t>правилом</w:t>
      </w:r>
      <w:r>
        <w:rPr>
          <w:i/>
          <w:color w:val="5A5A5A"/>
        </w:rPr>
        <w:t xml:space="preserve"> — датой смены базы, —</w:t>
      </w:r>
    </w:p>
    <w:p>
      <w:pPr>
        <w:ind w:left="480"/>
      </w:pPr>
      <w:r>
        <w:rPr>
          <w:i/>
          <w:color w:val="5A5A5A"/>
        </w:rPr>
        <w:t xml:space="preserve">а не удобством, и на решение выносятся </w:t>
      </w:r>
      <w:r>
        <w:rPr>
          <w:b/>
          <w:i/>
          <w:color w:val="5A5A5A"/>
        </w:rPr>
        <w:t>обе картины</w:t>
      </w:r>
      <w:r>
        <w:rPr>
          <w:i/>
          <w:color w:val="5A5A5A"/>
        </w:rPr>
        <w:t>: факт против 95 % на прежней базе</w:t>
      </w:r>
    </w:p>
    <w:p>
      <w:pPr>
        <w:ind w:left="480"/>
      </w:pPr>
      <w:r>
        <w:rPr>
          <w:i/>
          <w:color w:val="5A5A5A"/>
        </w:rPr>
        <w:t>и факт против 108,63 % на новой. Без второго условия конструкцию выносить нельзя.</w:t>
      </w:r>
    </w:p>
    <w:p>
      <w:pPr>
        <w:pStyle w:val="Heading2"/>
      </w:pPr>
      <w:r>
        <w:t>4. Как размечать зоны: запас времени</w:t>
      </w:r>
    </w:p>
    <w:p>
      <w:pPr>
        <w:jc w:val="both"/>
      </w:pPr>
      <w:r>
        <w:rPr>
          <w:color w:val="0B0B0B"/>
        </w:rPr>
        <w:t xml:space="preserve">Простейший способ — взять долю от уровня, 80–90 %. По топ-20 это даёт 76–85,5 % при историческом операционном коридоре метрики 66–84 %: порог попадает </w:t>
      </w:r>
      <w:r>
        <w:rPr>
          <w:b/>
          <w:color w:val="0B0B0B"/>
        </w:rPr>
        <w:t>внутрь</w:t>
      </w:r>
      <w:r>
        <w:rPr>
          <w:color w:val="0B0B0B"/>
        </w:rPr>
        <w:t xml:space="preserve"> обычного поведения показателя и будет срабатывать постоянно. Метод неприменим по этой метрике.</w:t>
      </w:r>
    </w:p>
    <w:p>
      <w:pPr>
        <w:jc w:val="both"/>
      </w:pPr>
      <w:r>
        <w:rPr>
          <w:color w:val="0B0B0B"/>
        </w:rPr>
        <w:t xml:space="preserve">Поэтому граница ставится не долей, а </w:t>
      </w:r>
      <w:r>
        <w:rPr>
          <w:b/>
          <w:color w:val="0B0B0B"/>
        </w:rPr>
        <w:t>запасом времени</w:t>
      </w:r>
      <w:r>
        <w:rPr>
          <w:color w:val="0B0B0B"/>
        </w:rPr>
        <w:t>: там, откуда метрика успевает дойти до уровня за отведённый срок.</w:t>
      </w:r>
    </w:p>
    <w:p>
      <w:pPr>
        <w:ind w:left="480"/>
      </w:pPr>
      <w:r>
        <w:rPr>
          <w:b/>
          <w:i/>
          <w:color w:val="5A5A5A"/>
        </w:rPr>
        <w:t>M(T) = z(p) · σ_Δ · √T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Множитель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это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По топ-20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σ_Δ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стандартное отклонение месячных приращений метрики — насколько она обычно двигается за месяц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4,0667 пп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√T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масштабирование хода на T месяцев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√1 и √4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z(p)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насколько неблагоприятный ход закладываем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z(0,90) = 1,2816</w:t>
            </w:r>
          </w:p>
        </w:tc>
      </w:tr>
    </w:tbl>
    <w:p/>
    <w:p>
      <w:pPr>
        <w:jc w:val="both"/>
      </w:pPr>
      <w:r>
        <w:rPr>
          <w:b/>
          <w:color w:val="0B0B0B"/>
        </w:rPr>
        <w:t>Почему √T, а не T.</w:t>
      </w:r>
      <w:r>
        <w:rPr>
          <w:color w:val="0B0B0B"/>
        </w:rPr>
        <w:t xml:space="preserve"> Метрика не идёт в одну сторону — она колеблется. Ходы за отдельные месяцы частично гасят друг друга, поэтому за четыре месяца она проходит не вчетверо больше, чем за один, а вдвое: √4 = 2. Это не наше допущение: масштабирование риска на срок по корню из времени применяется в банковском регулировании с 1996 года — десятидневный горизонт по рыночному риску получается умножением однодневного на √10 — и сохранено в действующем стандарте при агрегировании по горизонтам ликвидности.</w:t>
      </w:r>
    </w:p>
    <w:p>
      <w:pPr>
        <w:jc w:val="both"/>
      </w:pPr>
      <w:r>
        <w:rPr>
          <w:b/>
          <w:color w:val="0B0B0B"/>
        </w:rPr>
        <w:t>Что такое z(0,90) и почему именно он.</w:t>
      </w:r>
      <w:r>
        <w:rPr>
          <w:color w:val="0B0B0B"/>
        </w:rPr>
        <w:t xml:space="preserve"> Это множитель, отвечающий на вопрос «насколько плохой ход мы закладываем». При z = 1,2816 закладывается ход, который </w:t>
      </w:r>
      <w:r>
        <w:rPr>
          <w:b/>
          <w:color w:val="0B0B0B"/>
        </w:rPr>
        <w:t>не будет превышен в девяти случаях из десяти</w:t>
      </w:r>
      <w:r>
        <w:rPr>
          <w:color w:val="0B0B0B"/>
        </w:rPr>
        <w:t xml:space="preserve">. Не средний — средний ход не даст запаса вовсе. Не худший мыслимый — под него пришлось бы держать зону такой ширины, что она срабатывала бы всегда. Девятый дециль — управленческий выбор уровня консервативности, и он </w:t>
      </w:r>
      <w:r>
        <w:rPr>
          <w:b/>
          <w:color w:val="0B0B0B"/>
        </w:rPr>
        <w:t>принимается уполномоченным органом, а не вытекает из статистики</w:t>
      </w:r>
      <w:r>
        <w:rPr>
          <w:color w:val="0B0B0B"/>
        </w:rPr>
        <w:t>. Если требуется строже, ставится z(0,95) = 1,645, и все границы сдвигаются вместе с ним.</w:t>
      </w:r>
    </w:p>
    <w:p>
      <w:pPr>
        <w:pStyle w:val="Heading2"/>
      </w:pPr>
      <w:r>
        <w:t>5. M(4) и M(1): три зоны</w:t>
      </w:r>
    </w:p>
    <w:p>
      <w:pPr>
        <w:jc w:val="both"/>
      </w:pPr>
      <w:r>
        <w:rPr>
          <w:b/>
          <w:color w:val="0B0B0B"/>
        </w:rPr>
        <w:t>T = 4 месяца</w:t>
      </w:r>
      <w:r>
        <w:rPr>
          <w:color w:val="0B0B0B"/>
        </w:rPr>
        <w:t xml:space="preserve"> — цикл реагирования: срок, за который мера успевает подействовать. </w:t>
      </w:r>
      <w:r>
        <w:rPr>
          <w:b/>
          <w:color w:val="0B0B0B"/>
        </w:rPr>
        <w:t>T = 1 месяц</w:t>
      </w:r>
      <w:r>
        <w:rPr>
          <w:color w:val="0B0B0B"/>
        </w:rPr>
        <w:t xml:space="preserve"> — период отчётности.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Зона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Условие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Граница при уровне 108,63 %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Смысл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Зелёная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x &lt; L − M(4)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 xml:space="preserve">ниже </w:t>
            </w:r>
            <w:r>
              <w:rPr>
                <w:b/>
                <w:color w:val="0B0B0B"/>
              </w:rPr>
              <w:t>98,21 %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до уровня больше четырёх месяцев хода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Жёлтая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L − M(4) ≤ x &lt; L − M(1)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98,21 — 103,42 %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от одного до четырёх месяцев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Красная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L − M(1) ≤ x &lt; L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103,42 — 108,63 %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меньше месяца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Нарушение лимита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x ≥ L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108,63 % и выше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—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Фактическое значение на 01.07.2026 — </w:t>
      </w:r>
      <w:r>
        <w:rPr>
          <w:b/>
          <w:color w:val="0B0B0B"/>
        </w:rPr>
        <w:t>101,50 %</w:t>
      </w:r>
      <w:r>
        <w:rPr>
          <w:color w:val="0B0B0B"/>
        </w:rPr>
        <w:t xml:space="preserve">, то есть </w:t>
      </w:r>
      <w:r>
        <w:rPr>
          <w:b/>
          <w:color w:val="0B0B0B"/>
        </w:rPr>
        <w:t>жёлтая зона</w:t>
      </w:r>
      <w:r>
        <w:rPr>
          <w:color w:val="0B0B0B"/>
        </w:rPr>
        <w:t>: до уровня больше месяца хода, но меньше четырёх.</w:t>
      </w:r>
    </w:p>
    <w:p>
      <w:pPr>
        <w:jc w:val="both"/>
      </w:pPr>
      <w:r>
        <w:rPr>
          <w:color w:val="0B0B0B"/>
        </w:rPr>
        <w:t>Четвёртое состояние добавлено потому, что у кредитных метрик лимиты внутренние: регулятору они не направляются, и нарушение остаётся внутренним. Следствие пробоя должна задать сама система, а задать его она может только через отдельное состояние.</w:t>
      </w:r>
    </w:p>
    <w:p>
      <w:pPr>
        <w:pStyle w:val="Heading2"/>
      </w:pPr>
      <w:r>
        <w:t>6. Мы не вводим новую логику — наследуем ту, что в Банке уже есть</w:t>
      </w:r>
    </w:p>
    <w:p>
      <w:pPr>
        <w:jc w:val="both"/>
      </w:pPr>
      <w:r>
        <w:rPr>
          <w:color w:val="0B0B0B"/>
        </w:rPr>
        <w:t>Светофор в Банке применяется: Приложение № 2 к Методике определения и расчёта агрегированных уровней риск-аппетита задаёт зелёную, жёлтую и красную зоны для ACARI, ALRI и их составляющих. Названия и определения зон берём оттуда дословно; они совпадают с п. 18 Правил формирования системы управления рисками (пост. АРРФР от 28.04.2026, рег. № 38586):</w:t>
      </w:r>
    </w:p>
    <w:p>
      <w:pPr>
        <w:pStyle w:val="ListBullet"/>
      </w:pPr>
      <w:r>
        <w:rPr>
          <w:b/>
          <w:color w:val="0B0B0B"/>
        </w:rPr>
        <w:t>зелёная</w:t>
      </w:r>
      <w:r>
        <w:rPr>
          <w:color w:val="0B0B0B"/>
        </w:rPr>
        <w:t xml:space="preserve"> — уровень, не требующий применения корректирующих мер;</w:t>
      </w:r>
    </w:p>
    <w:p>
      <w:pPr>
        <w:pStyle w:val="ListBullet"/>
      </w:pPr>
      <w:r>
        <w:rPr>
          <w:b/>
          <w:color w:val="0B0B0B"/>
        </w:rPr>
        <w:t>жёлтая</w:t>
      </w:r>
      <w:r>
        <w:rPr>
          <w:color w:val="0B0B0B"/>
        </w:rPr>
        <w:t xml:space="preserve"> — уровень, определённый как допустимый, но требующий отдельных корректирующих</w:t>
      </w:r>
    </w:p>
    <w:p>
      <w:pPr>
        <w:jc w:val="both"/>
      </w:pPr>
      <w:r>
        <w:rPr>
          <w:color w:val="0B0B0B"/>
        </w:rPr>
        <w:t>мер в действующих процедурах;</w:t>
      </w:r>
    </w:p>
    <w:p>
      <w:pPr>
        <w:pStyle w:val="ListBullet"/>
      </w:pPr>
      <w:r>
        <w:rPr>
          <w:b/>
          <w:color w:val="0B0B0B"/>
        </w:rPr>
        <w:t>красная</w:t>
      </w:r>
      <w:r>
        <w:rPr>
          <w:color w:val="0B0B0B"/>
        </w:rPr>
        <w:t xml:space="preserve"> — уровень, определённый как высокий, требующий применения соответствующих мер</w:t>
      </w:r>
    </w:p>
    <w:p>
      <w:pPr>
        <w:jc w:val="both"/>
      </w:pPr>
      <w:r>
        <w:rPr>
          <w:color w:val="0B0B0B"/>
        </w:rPr>
        <w:t>с целью недопущения ухудшения финансовой устойчивости и платёжеспособности.</w:t>
      </w:r>
    </w:p>
    <w:p>
      <w:pPr>
        <w:jc w:val="both"/>
      </w:pPr>
      <w:r>
        <w:rPr>
          <w:b/>
          <w:color w:val="0B0B0B"/>
        </w:rPr>
        <w:t>Главное, что мы оттуда наследуем: красная зона стоит ДО лимита, а не за ним.</w:t>
      </w:r>
      <w:r>
        <w:rPr>
          <w:color w:val="0B0B0B"/>
        </w:rPr>
        <w:t xml:space="preserve"> По k1 порог красной — 9,0 % при лимите 8,5 %; поскольку метрика «не менее», это означает, что красная лампа загорается </w:t>
      </w:r>
      <w:r>
        <w:rPr>
          <w:b/>
          <w:color w:val="0B0B0B"/>
        </w:rPr>
        <w:t>раньше</w:t>
      </w:r>
      <w:r>
        <w:rPr>
          <w:color w:val="0B0B0B"/>
        </w:rPr>
        <w:t>, чем уровень нарушен. У шести метрик из восьми порог красной составляет 104,5–105,9 % лимита.</w:t>
      </w:r>
    </w:p>
    <w:p>
      <w:pPr>
        <w:jc w:val="both"/>
      </w:pPr>
      <w:r>
        <w:rPr>
          <w:color w:val="0B0B0B"/>
        </w:rPr>
        <w:t xml:space="preserve">Вопрос «почему красная зона до лимита, а не после» задают первым. Ответ не методологический, а институциональный: </w:t>
      </w:r>
      <w:r>
        <w:rPr>
          <w:b/>
          <w:color w:val="0B0B0B"/>
        </w:rPr>
        <w:t>так уже сделано, и не нами.</w:t>
      </w:r>
    </w:p>
    <w:p>
      <w:pPr>
        <w:pStyle w:val="Heading2"/>
      </w:pPr>
      <w:r>
        <w:t>7. Второй уровень поимки: триггеры на движение</w:t>
      </w:r>
    </w:p>
    <w:p>
      <w:pPr>
        <w:jc w:val="both"/>
      </w:pPr>
      <w:r>
        <w:rPr>
          <w:color w:val="0B0B0B"/>
        </w:rPr>
        <w:t>Зоны недостаточно, и это доказано на нашем же ряде.</w:t>
      </w:r>
    </w:p>
    <w:p>
      <w:pPr>
        <w:jc w:val="both"/>
      </w:pPr>
      <w:r>
        <w:rPr>
          <w:b/>
          <w:color w:val="0B0B0B"/>
        </w:rPr>
        <w:t>Январь 2026.</w:t>
      </w:r>
      <w:r>
        <w:rPr>
          <w:color w:val="0B0B0B"/>
        </w:rPr>
        <w:t xml:space="preserve"> Коэффициент вырос с 86,15 % до 95,85 % за один месяц. Причина — падение собственного капитала на </w:t>
      </w:r>
      <w:r>
        <w:rPr>
          <w:b/>
          <w:color w:val="0B0B0B"/>
        </w:rPr>
        <w:t>7,92 %</w:t>
      </w:r>
      <w:r>
        <w:rPr>
          <w:color w:val="0B0B0B"/>
        </w:rPr>
        <w:t>, а не рост портфеля. Никакая граница зоны выше 86,15 % этот месяц не предупредила бы: метрика вошла в него из глубокой зелёной зоны. Волатильность позволяет пройти от зелёной к красной быстрее, чем зона успевает что-либо сообщить.</w:t>
      </w:r>
    </w:p>
    <w:p>
      <w:pPr>
        <w:jc w:val="both"/>
      </w:pPr>
      <w:r>
        <w:rPr>
          <w:b/>
          <w:color w:val="0B0B0B"/>
        </w:rPr>
        <w:t>Январь 2024.</w:t>
      </w:r>
      <w:r>
        <w:rPr>
          <w:color w:val="0B0B0B"/>
        </w:rPr>
        <w:t xml:space="preserve"> Коэффициент достиг 105,90 % при границе красной 103,42 % — единственный вход в красную зону за 36 месяцев. Его, наоборот, поймала зона.</w:t>
      </w:r>
    </w:p>
    <w:p>
      <w:pPr>
        <w:jc w:val="both"/>
      </w:pPr>
      <w:r>
        <w:rPr>
          <w:color w:val="0B0B0B"/>
        </w:rPr>
        <w:t xml:space="preserve">Один случай пойман только триггером, другой — только зоной. Поэтому в конструкции оба: </w:t>
      </w:r>
      <w:r>
        <w:rPr>
          <w:b/>
          <w:color w:val="0B0B0B"/>
        </w:rPr>
        <w:t>зона смотрит на значение, триггер — на скорость.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B0B0B"/>
              </w:rPr>
              <w:t>Триггер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Порог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Срабатываний за 36 мес.</w:t>
            </w:r>
          </w:p>
        </w:tc>
        <w:tc>
          <w:tcPr>
            <w:tcW w:type="dxa" w:w="2160"/>
          </w:tcPr>
          <w:p>
            <w:r>
              <w:rPr>
                <w:b/>
                <w:color w:val="0B0B0B"/>
              </w:rPr>
              <w:t>Что ловит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Знаменатель:</w:t>
            </w:r>
            <w:r>
              <w:rPr>
                <w:color w:val="0B0B0B"/>
              </w:rPr>
              <w:t xml:space="preserve"> Δ СК за месяц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≤ −3 %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 xml:space="preserve">капитальные события; </w:t>
            </w:r>
            <w:r>
              <w:rPr>
                <w:b/>
                <w:color w:val="0B0B0B"/>
              </w:rPr>
              <w:t>январь пойман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0B0B0B"/>
              </w:rPr>
              <w:t>Числитель:</w:t>
            </w:r>
            <w:r>
              <w:rPr>
                <w:color w:val="0B0B0B"/>
              </w:rPr>
              <w:t xml:space="preserve"> Δ Займ за месяц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≥ +5 %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color w:val="0B0B0B"/>
              </w:rPr>
              <w:t>концентрационный рост</w:t>
            </w:r>
          </w:p>
        </w:tc>
      </w:tr>
    </w:tbl>
    <w:p/>
    <w:p>
      <w:pPr>
        <w:jc w:val="both"/>
      </w:pPr>
      <w:r>
        <w:rPr>
          <w:color w:val="0B0B0B"/>
        </w:rPr>
        <w:t>Пороги соответствуют примерно 1,3 σ и 1,5 σ соответствующих распределений. Срабатывание триггера переводит метрику в учащённый режим наблюдения на два месяца независимо от зоны.</w:t>
      </w:r>
    </w:p>
    <w:p>
      <w:pPr>
        <w:ind w:left="480"/>
      </w:pPr>
      <w:r>
        <w:rPr>
          <w:i/>
          <w:color w:val="5A5A5A"/>
        </w:rPr>
        <w:t xml:space="preserve">⚠ </w:t>
      </w:r>
      <w:r>
        <w:rPr>
          <w:b/>
          <w:i/>
          <w:color w:val="5A5A5A"/>
        </w:rPr>
        <w:t>«Полный контроль метрики» сказать нельзя, и это надо произнести самим.</w:t>
      </w:r>
      <w:r>
        <w:rPr>
          <w:i/>
          <w:color w:val="5A5A5A"/>
        </w:rPr>
        <w:t xml:space="preserve"> Зона закрывает</w:t>
      </w:r>
    </w:p>
    <w:p>
      <w:pPr>
        <w:ind w:left="480"/>
      </w:pPr>
      <w:r>
        <w:rPr>
          <w:i/>
          <w:color w:val="5A5A5A"/>
        </w:rPr>
        <w:t>уровень, триггер — скорость. Есть третий способ сдвинуть метрику: **переопределить</w:t>
      </w:r>
    </w:p>
    <w:p>
      <w:pPr>
        <w:ind w:left="480"/>
      </w:pPr>
      <w:r>
        <w:rPr>
          <w:i/>
          <w:color w:val="5A5A5A"/>
        </w:rPr>
        <w:t>знаменатель**. Он не ловится ни зоной, ни триггером — с точки зрения ряда ничего</w:t>
      </w:r>
    </w:p>
    <w:p>
      <w:pPr>
        <w:ind w:left="480"/>
      </w:pPr>
      <w:r>
        <w:rPr>
          <w:i/>
          <w:color w:val="5A5A5A"/>
        </w:rPr>
        <w:t>не произошло. Это не гипотеза: именно так метрика и сдвинулась в 2026 году, и об этом</w:t>
      </w:r>
    </w:p>
    <w:p>
      <w:pPr>
        <w:ind w:left="480"/>
      </w:pPr>
      <w:r>
        <w:rPr>
          <w:i/>
          <w:color w:val="5A5A5A"/>
        </w:rPr>
        <w:t>§ 2 настоящей записки. Защита только процедурная: любое изменение состава числителя</w:t>
      </w:r>
    </w:p>
    <w:p>
      <w:pPr>
        <w:ind w:left="480"/>
      </w:pPr>
      <w:r>
        <w:rPr>
          <w:i/>
          <w:color w:val="5A5A5A"/>
        </w:rPr>
        <w:t>или знаменателя выносится отдельным решением.</w:t>
      </w:r>
    </w:p>
    <w:p>
      <w:pPr>
        <w:pStyle w:val="Heading2"/>
      </w:pPr>
      <w:r>
        <w:t>8. Можно ли применять ту же формулу к остальным метрикам</w:t>
      </w:r>
    </w:p>
    <w:p>
      <w:pPr>
        <w:jc w:val="both"/>
      </w:pPr>
      <w:r>
        <w:rPr>
          <w:color w:val="0B0B0B"/>
        </w:rPr>
        <w:t xml:space="preserve">Формула M(T) опирается на нормальное распределение. Проверка приращений всех двенадцати кредитных метрик тремя критериями даёт: </w:t>
      </w:r>
      <w:r>
        <w:rPr>
          <w:b/>
          <w:color w:val="0B0B0B"/>
        </w:rPr>
        <w:t>формально нормальны три</w:t>
      </w:r>
      <w:r>
        <w:rPr>
          <w:color w:val="0B0B0B"/>
        </w:rPr>
        <w:t xml:space="preserve"> — топ-20, EL по обеспеченным и EL по прочим.</w:t>
      </w:r>
    </w:p>
    <w:p>
      <w:pPr>
        <w:jc w:val="both"/>
      </w:pPr>
      <w:r>
        <w:rPr>
          <w:color w:val="0B0B0B"/>
        </w:rPr>
        <w:t xml:space="preserve">Если остановиться здесь, вывод будет «метод годится для трёх метрик из двенадцати». </w:t>
      </w:r>
      <w:r>
        <w:rPr>
          <w:b/>
          <w:color w:val="0B0B0B"/>
        </w:rPr>
        <w:t>Этот вывод неверен</w:t>
      </w:r>
      <w:r>
        <w:rPr>
          <w:color w:val="0B0B0B"/>
        </w:rPr>
        <w:t>, и вот почему.</w:t>
      </w:r>
    </w:p>
    <w:p>
      <w:pPr>
        <w:jc w:val="both"/>
      </w:pPr>
      <w:r>
        <w:rPr>
          <w:b/>
          <w:color w:val="0B0B0B"/>
        </w:rPr>
        <w:t>M(T) опирается не на одно приращение, а на сумму T приращений.</w:t>
      </w:r>
      <w:r>
        <w:rPr>
          <w:color w:val="0B0B0B"/>
        </w:rPr>
        <w:t xml:space="preserve"> По центральной предельной теореме сумма ближе к нормальной, чем слагаемые: отклонения частично гасят друг друга. Поэтому ненормальность отдельного месяца не запрещает применять формулу к ходу за четыре месяца.</w:t>
      </w:r>
    </w:p>
    <w:p>
      <w:pPr>
        <w:ind w:left="480"/>
      </w:pPr>
      <w:r>
        <w:rPr>
          <w:i/>
          <w:color w:val="5A5A5A"/>
        </w:rPr>
        <w:t xml:space="preserve">⚠ </w:t>
      </w:r>
      <w:r>
        <w:rPr>
          <w:b/>
          <w:i/>
          <w:color w:val="5A5A5A"/>
        </w:rPr>
        <w:t>Но опираться на эту теорему нельзя, и мы не опираемся.</w:t>
      </w:r>
      <w:r>
        <w:rPr>
          <w:i/>
          <w:color w:val="5A5A5A"/>
        </w:rPr>
        <w:t xml:space="preserve"> ЦПТ говорит о пределе</w:t>
      </w:r>
    </w:p>
    <w:p>
      <w:pPr>
        <w:ind w:left="480"/>
      </w:pPr>
      <w:r>
        <w:rPr>
          <w:i/>
          <w:color w:val="5A5A5A"/>
        </w:rPr>
        <w:t>при большом числе слагаемых, а у нас T = 4. Количественная оценка погрешности на таком</w:t>
      </w:r>
    </w:p>
    <w:p>
      <w:pPr>
        <w:ind w:left="480"/>
      </w:pPr>
      <w:r>
        <w:rPr>
          <w:i/>
          <w:color w:val="5A5A5A"/>
        </w:rPr>
        <w:t xml:space="preserve">горизонте даёт границу порядка </w:t>
      </w:r>
      <w:r>
        <w:rPr>
          <w:b/>
          <w:i/>
          <w:color w:val="5A5A5A"/>
        </w:rPr>
        <w:t>±46 процентных пунктов</w:t>
      </w:r>
      <w:r>
        <w:rPr>
          <w:i/>
          <w:color w:val="5A5A5A"/>
        </w:rPr>
        <w:t xml:space="preserve"> — теорема не гарантирует ничего.</w:t>
      </w:r>
    </w:p>
    <w:p>
      <w:pPr>
        <w:ind w:left="480"/>
      </w:pPr>
      <w:r>
        <w:rPr>
          <w:i/>
          <w:color w:val="5A5A5A"/>
        </w:rPr>
        <w:t>Она объясняет направление, но права не даёт.</w:t>
      </w:r>
    </w:p>
    <w:p>
      <w:pPr>
        <w:jc w:val="both"/>
      </w:pPr>
      <w:r>
        <w:rPr>
          <w:b/>
          <w:color w:val="0B0B0B"/>
        </w:rPr>
        <w:t>Право даёт прямая проверка</w:t>
      </w:r>
      <w:r>
        <w:rPr>
          <w:color w:val="0B0B0B"/>
        </w:rPr>
        <w:t xml:space="preserve">, и она сделана: совпадает ли </w:t>
      </w:r>
      <w:r>
        <w:rPr>
          <w:rFonts w:ascii="Consolas" w:hAnsi="Consolas"/>
          <w:color w:val="0B0B0B"/>
          <w:sz w:val="19"/>
        </w:rPr>
        <w:t>z·σ·√T</w:t>
      </w:r>
      <w:r>
        <w:rPr>
          <w:color w:val="0B0B0B"/>
        </w:rPr>
        <w:t xml:space="preserve"> с эмпирическим девятым децилем </w:t>
      </w:r>
      <w:r>
        <w:rPr>
          <w:b/>
          <w:color w:val="0B0B0B"/>
        </w:rPr>
        <w:t>фактических четырёхмесячных изменений</w:t>
      </w:r>
      <w:r>
        <w:rPr>
          <w:color w:val="0B0B0B"/>
        </w:rPr>
        <w:t xml:space="preserve"> каждой метрики. Результат:</w:t>
      </w:r>
    </w:p>
    <w:p>
      <w:pPr>
        <w:pStyle w:val="ListBullet"/>
      </w:pPr>
      <w:r>
        <w:rPr>
          <w:color w:val="0B0B0B"/>
        </w:rPr>
        <w:t xml:space="preserve">модель </w:t>
      </w:r>
      <w:r>
        <w:rPr>
          <w:b/>
          <w:color w:val="0B0B0B"/>
        </w:rPr>
        <w:t>нигде не занижает</w:t>
      </w:r>
      <w:r>
        <w:rPr>
          <w:color w:val="0B0B0B"/>
        </w:rPr>
        <w:t xml:space="preserve"> буфер — она его завышает;</w:t>
      </w:r>
    </w:p>
    <w:p>
      <w:pPr>
        <w:pStyle w:val="ListBullet"/>
      </w:pPr>
      <w:r>
        <w:rPr>
          <w:color w:val="0B0B0B"/>
        </w:rPr>
        <w:t xml:space="preserve">причина завышения не в форме распределения, а в </w:t>
      </w:r>
      <w:r>
        <w:rPr>
          <w:b/>
          <w:color w:val="0B0B0B"/>
        </w:rPr>
        <w:t>сносе</w:t>
      </w:r>
      <w:r>
        <w:rPr>
          <w:color w:val="0B0B0B"/>
        </w:rPr>
        <w:t>: ожидаемые потери и вероятности</w:t>
      </w:r>
    </w:p>
    <w:p>
      <w:pPr>
        <w:jc w:val="both"/>
      </w:pPr>
      <w:r>
        <w:rPr>
          <w:color w:val="0B0B0B"/>
        </w:rPr>
        <w:t>дефолта падают три года подряд, а формула считает снос нулевым;</w:t>
      </w:r>
    </w:p>
    <w:p>
      <w:pPr>
        <w:pStyle w:val="ListBullet"/>
      </w:pPr>
      <w:r>
        <w:rPr>
          <w:color w:val="0B0B0B"/>
        </w:rPr>
        <w:t xml:space="preserve">снос в зачёт </w:t>
      </w:r>
      <w:r>
        <w:rPr>
          <w:b/>
          <w:color w:val="0B0B0B"/>
        </w:rPr>
        <w:t>сознательно не берётся</w:t>
      </w:r>
      <w:r>
        <w:rPr>
          <w:color w:val="0B0B0B"/>
        </w:rPr>
        <w:t xml:space="preserve"> — иначе зона опиралась бы на предположение</w:t>
      </w:r>
    </w:p>
    <w:p>
      <w:pPr>
        <w:jc w:val="both"/>
      </w:pPr>
      <w:r>
        <w:rPr>
          <w:color w:val="0B0B0B"/>
        </w:rPr>
        <w:t>о продолжении благоприятной тенденции.</w:t>
      </w:r>
    </w:p>
    <w:p>
      <w:pPr>
        <w:jc w:val="both"/>
      </w:pPr>
      <w:r>
        <w:rPr>
          <w:b/>
          <w:color w:val="0B0B0B"/>
        </w:rPr>
        <w:t>Метод применим к одиннадцати метрикам из двенадцати.</w:t>
      </w:r>
      <w:r>
        <w:rPr>
          <w:color w:val="0B0B0B"/>
        </w:rPr>
        <w:t xml:space="preserve"> И решает это не нормальность, а сопоставление с фактическим квантилем — то есть проверка того, покрывает ли заложенный буфер реальные ходы, а не того, какой формы распределение.</w:t>
      </w:r>
    </w:p>
    <w:p>
      <w:pPr>
        <w:pStyle w:val="Heading2"/>
      </w:pPr>
      <w:r>
        <w:t>9. Одна метрика, к которой запас времени неприменим</w:t>
      </w:r>
    </w:p>
    <w:p>
      <w:pPr>
        <w:jc w:val="both"/>
      </w:pPr>
      <w:r>
        <w:rPr>
          <w:b/>
          <w:color w:val="0B0B0B"/>
        </w:rPr>
        <w:t>Стоимость риска по корпоративному бизнесу и Приват-Банкингу.</w:t>
      </w:r>
      <w:r>
        <w:rPr>
          <w:color w:val="0B0B0B"/>
        </w:rPr>
        <w:t xml:space="preserve"> Буфер на цикл реагирования M(4) = 3,2850 при уровне 3,00: </w:t>
      </w:r>
      <w:r>
        <w:rPr>
          <w:b/>
          <w:color w:val="0B0B0B"/>
        </w:rPr>
        <w:t>буфер больше всего уровня</w:t>
      </w:r>
      <w:r>
        <w:rPr>
          <w:color w:val="0B0B0B"/>
        </w:rPr>
        <w:t>, граница зелёной зоны уходит в отрицательную область. Зона вырождается арифметически. Причина не в форме распределения, а в величине волатильности относительно уровня.</w:t>
      </w:r>
    </w:p>
    <w:p>
      <w:pPr>
        <w:jc w:val="both"/>
      </w:pPr>
      <w:r>
        <w:rPr>
          <w:b/>
          <w:color w:val="0B0B0B"/>
        </w:rPr>
        <w:t>Замена.</w:t>
      </w:r>
      <w:r>
        <w:rPr>
          <w:color w:val="0B0B0B"/>
        </w:rPr>
        <w:t xml:space="preserve"> Зоны считаются </w:t>
      </w:r>
      <w:r>
        <w:rPr>
          <w:b/>
          <w:color w:val="0B0B0B"/>
        </w:rPr>
        <w:t>эмпирическим квантилем</w:t>
      </w:r>
      <w:r>
        <w:rPr>
          <w:color w:val="0B0B0B"/>
        </w:rPr>
        <w:t xml:space="preserve"> фактических изменений — подход, применяемый в регулировании как историческая симуляция, — с разделением по календарным режимам: волатильность этой метрики в феврале-марте отличается от остальных месяцев в </w:t>
      </w:r>
      <w:r>
        <w:rPr>
          <w:b/>
          <w:color w:val="0B0B0B"/>
        </w:rPr>
        <w:t>5,04 раза</w:t>
      </w:r>
      <w:r>
        <w:rPr>
          <w:color w:val="0B0B0B"/>
        </w:rPr>
        <w:t>, тогда как у остальных десяти метрик это отношение не превышает 1,76.</w:t>
      </w:r>
    </w:p>
    <w:p>
      <w:pPr>
        <w:ind w:left="480"/>
      </w:pPr>
      <w:r>
        <w:rPr>
          <w:i/>
          <w:color w:val="5A5A5A"/>
        </w:rPr>
        <w:t xml:space="preserve">⚠ </w:t>
      </w:r>
      <w:r>
        <w:rPr>
          <w:b/>
          <w:i/>
          <w:color w:val="5A5A5A"/>
        </w:rPr>
        <w:t>Обе метрики стоимости риска размечены предварительно.</w:t>
      </w:r>
      <w:r>
        <w:rPr>
          <w:i/>
          <w:color w:val="5A5A5A"/>
        </w:rPr>
        <w:t xml:space="preserve"> Природа ряда не установлена:</w:t>
      </w:r>
    </w:p>
    <w:p>
      <w:pPr>
        <w:ind w:left="480"/>
      </w:pPr>
      <w:r>
        <w:rPr>
          <w:i/>
          <w:color w:val="5A5A5A"/>
        </w:rPr>
        <w:t>в отчёте он назван «текущим годовым уровнем», но формулы за ним нет ни на одном листе</w:t>
      </w:r>
    </w:p>
    <w:p>
      <w:pPr>
        <w:ind w:left="480"/>
      </w:pPr>
      <w:r>
        <w:rPr>
          <w:i/>
          <w:color w:val="5A5A5A"/>
        </w:rPr>
        <w:t>формы 50 — в отличие от EL и PD, которые являются внешними ссылками. До ответа владельца</w:t>
      </w:r>
    </w:p>
    <w:p>
      <w:pPr>
        <w:ind w:left="480"/>
      </w:pPr>
      <w:r>
        <w:rPr>
          <w:i/>
          <w:color w:val="5A5A5A"/>
        </w:rPr>
        <w:t>расчёта разметка по обеим метрикам CoR действительна условно. Остальные одиннадцать метрик</w:t>
      </w:r>
    </w:p>
    <w:p>
      <w:pPr>
        <w:ind w:left="480"/>
      </w:pPr>
      <w:r>
        <w:rPr>
          <w:i/>
          <w:color w:val="5A5A5A"/>
        </w:rPr>
        <w:t>от этого ответа не зависят.</w:t>
      </w:r>
    </w:p>
    <w:p>
      <w:pPr>
        <w:pStyle w:val="Heading2"/>
      </w:pPr>
      <w:r>
        <w:t>10. Что выносится на решение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Решение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 xml:space="preserve">Перенести уровень по топ-20 на новую базу капитала: </w:t>
            </w:r>
            <w:r>
              <w:rPr>
                <w:b/>
                <w:color w:val="0B0B0B"/>
              </w:rPr>
              <w:t>108,63 %</w:t>
            </w:r>
            <w:r>
              <w:rPr>
                <w:color w:val="0B0B0B"/>
              </w:rPr>
              <w:t xml:space="preserve"> вместо 95 %. На рассмотрение выносятся обе картины — факт против прежнего уровня и против пересчитанного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Принять лестничную разметку: четыре состояния, границы по запасу времени M(4) и M(1)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 xml:space="preserve">Принять уровень консервативности </w:t>
            </w:r>
            <w:r>
              <w:rPr>
                <w:b/>
                <w:color w:val="0B0B0B"/>
              </w:rPr>
              <w:t>z(0,90)</w:t>
            </w:r>
            <w:r>
              <w:rPr>
                <w:color w:val="0B0B0B"/>
              </w:rPr>
              <w:t xml:space="preserve"> либо назначить иной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Принять два триггера на движение: Δ СК ≤ −3 % и Δ Займ ≥ +5 %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B0B0B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Утвердить меры реагирования — приложение «Шаблон мер реагирования», 48 случаев</w:t>
            </w:r>
          </w:p>
        </w:tc>
      </w:tr>
    </w:tbl>
    <w:p/>
    <w:p>
      <w:pPr>
        <w:jc w:val="both"/>
      </w:pPr>
      <w:r>
        <w:rPr>
          <w:b/>
          <w:color w:val="0B0B0B"/>
        </w:rPr>
        <w:t>Отдельно к сведению.</w:t>
      </w:r>
      <w:r>
        <w:rPr>
          <w:color w:val="0B0B0B"/>
        </w:rPr>
        <w:t xml:space="preserve"> При лестничной разметке уровень 95 % — точнее, его эквивалент 108,63 % — начинает выполнять роль границы, за которой риск считается высоким, а роль собственно уровня риск-аппетита переходит к границе зелёной зоны. Это </w:t>
      </w:r>
      <w:r>
        <w:rPr>
          <w:b/>
          <w:color w:val="0B0B0B"/>
        </w:rPr>
        <w:t>смена смысла утверждённого числа</w:t>
      </w:r>
      <w:r>
        <w:rPr>
          <w:color w:val="0B0B0B"/>
        </w:rPr>
        <w:t>, и принимается она уполномоченным органом.</w:t>
      </w:r>
    </w:p>
    <w:p>
      <w:pPr>
        <w:pStyle w:val="Heading2"/>
      </w:pPr>
      <w:r>
        <w:t>Приложение. Карта источников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Утверждение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Где проверить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Уровень 95 %, Приложение № 3 к Политике; 250 % до 13.02.2023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data/top20_limit_history.csv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101,50 % на 01.07.2026; 448 999,8 и 442 346,3 млн ₸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форма 50, лист 50-1, ячейки E9, E10, E11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Отношение баз 0,874525; 95 / 0,874525 = 108,6304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data/top20_monthly_2023_08_2026_07.csv</w:t>
            </w:r>
            <w:r>
              <w:rPr>
                <w:color w:val="0B0B0B"/>
              </w:rPr>
              <w:t>, точка 01.01.2026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σ_Δ = 4,0667; M(1) = 5,2117; M(4) = 10,4235; границы 98,21 и 103,42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calib/trigger_audit.py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105,90 % в 01.2024; 95,85 % и Δ СК −7,92 % в 01.2026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data/top20_monthly_2023_08_2026_07.csv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Триггеры: 2 и 5 срабатываний, пороги ≈ 1,3 σ и 1,5 σ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DECOMPOSITION.md</w:t>
            </w:r>
            <w:r>
              <w:rPr>
                <w:color w:val="0B0B0B"/>
              </w:rPr>
              <w:t xml:space="preserve"> § 11.9.3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Три метрики из двенадцати формально нормальны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calib/normality_triage.py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Модель нигде не занижает буфер; причина — снос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там же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M(4) = 3,2850 при уровне 3,00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там же; книга v1.8, лист «Метрики»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Отношение волатильности 5,04 против ≤ 1,76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FINDINGS_RA.md</w:t>
            </w:r>
            <w:r>
              <w:rPr>
                <w:color w:val="0B0B0B"/>
              </w:rPr>
              <w:t>, Г36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Зоны Приложения № 2: k1 красная &lt; 9,0 % при лимите 8,5 %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Приложение № 2 к Методике агрегированных уровней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Определения зон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п. 18 Правил № 86, рег. № 38586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20 из 36 месяцев сверены с отчётностью; первые 16 — реконструкция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0B0B0B"/>
                <w:sz w:val="19"/>
              </w:rPr>
              <w:t>DECOMPOSITION.md</w:t>
            </w:r>
            <w:r>
              <w:rPr>
                <w:color w:val="0B0B0B"/>
              </w:rPr>
              <w:t xml:space="preserve"> § 10.2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