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2"/>
          <w:szCs w:val="32"/>
        </w:rPr>
        <w:t xml:space="preserve">ОЗДОРОВЛЕНИЕ РОЗНИЧНЫХ ЗАЙМОВ ПРИ ПОРОГЕ ПРОСРОЧКИ 15 ДНЕЙ</w:t>
      </w:r>
    </w:p>
    <w:p>
      <w:pPr>
        <w:spacing w:after="240"/>
      </w:pPr>
      <w:r>
        <w:rPr>
          <w:color w:val="444444"/>
          <w:sz w:val="22"/>
          <w:szCs w:val="22"/>
        </w:rPr>
        <w:t xml:space="preserve">Нормативная проверка конструкции по Правилам № 61, Нормативам № 85, Правилам № 86 и МСФО (IFRS) 9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0"/>
      </w:tblGrid>
      <w:tr>
        <w:trPr>
          <w:tblHeader/>
        </w:trPr>
        <w:tc>
          <w:tcPr>
            <w:tcW w:type="dxa" w:w="2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7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Нарушается ли нормативный пункт, если порогом DPD для оздоровления займов физических лиц взять 15 дней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Краткий ответ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Нет. Но порог в связке с месячной сеткой наблюдений означает не 15 дней, а 45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Периметр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Розница, физические лица, активы в дефолте. Портфель на 01.08.2026, ретроспектива 6 месяцев, 7 месячных срезов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Источники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Правила № 61 от 29.09.2025; Нормативы № 85 и Правила № 86 от 28.04.2026; МСФО (IFRS) 9. Прочитаны в оригинале, цитируются по пунктам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Рабочая версия v1.0. Три факта отсутствуют — см. § 6, решение до их получения условное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Подразделение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БРМ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Дата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24.08.2026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Порядок изложения: сначала прямой ответ и его основание, затем то, что в конструкции не работает, затем условия, без которых внедрение является нарушением, и в конце — чего решение не закрывает.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Прямой ответ: порог 15 дней нормативно допустим</w:t>
      </w:r>
    </w:p>
    <w:p>
      <w:pPr>
        <w:spacing w:after="120" w:line="264"/>
      </w:pPr>
      <w:r>
        <w:rPr>
          <w:sz w:val="20"/>
          <w:szCs w:val="20"/>
        </w:rPr>
        <w:t xml:space="preserve">Нормативного пункта, который нарушался бы порогом 15 дней, нет ни в одном из четырёх проверенных документов.</w:t>
      </w:r>
    </w:p>
    <w:p>
      <w:pPr>
        <w:spacing w:after="120" w:line="264"/>
      </w:pPr>
      <w:r>
        <w:rPr>
          <w:sz w:val="20"/>
          <w:szCs w:val="20"/>
        </w:rPr>
        <w:t xml:space="preserve">Основание простое и проверяется по тексту: все пороги дней в этих документах — пороги ухудшения, и каждый из них выше 15.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100"/>
        <w:gridCol w:w="3300"/>
      </w:tblGrid>
      <w:tr>
        <w:trPr>
          <w:tblHeader/>
        </w:trPr>
        <w:tc>
          <w:tcPr>
            <w:tcW w:type="dxa" w:w="1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Порог</w:t>
            </w:r>
          </w:p>
        </w:tc>
        <w:tc>
          <w:tcPr>
            <w:tcW w:type="dxa" w:w="51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Что означает</w:t>
            </w:r>
          </w:p>
        </w:tc>
        <w:tc>
          <w:tcPr>
            <w:tcW w:type="dxa" w:w="3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Где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30 дней</w:t>
            </w:r>
          </w:p>
        </w:tc>
        <w:tc>
          <w:tcPr>
            <w:tcW w:type="dxa" w:w="5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Значительное увеличение кредитного риска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№ 61 п. 10; МСФО 9 п. 5.5.11 (опровержимая презумпция)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60 дней</w:t>
            </w:r>
          </w:p>
        </w:tc>
        <w:tc>
          <w:tcPr>
            <w:tcW w:type="dxa" w:w="5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Объективное подтверждение обесценения — только по индивидуальным активам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№ 61 п. 16 подпункт 2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90 дней</w:t>
            </w:r>
          </w:p>
        </w:tc>
        <w:tc>
          <w:tcPr>
            <w:tcW w:type="dxa" w:w="5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Дефолт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№ 61 определение 4); МСФО 9 п. B5.5.37 (опровержимая презумпция)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Принцип, из которого это следует.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Регулирование ограничивает сверху момент признания ухудшения, а не снизу момент признания улучшения. Более строгий внутренний критерий выхода из дефолта не нарушает норму, которая задаёт критерии входа в него.</w:t>
      </w:r>
    </w:p>
    <w:p>
      <w:pPr>
        <w:spacing w:after="120" w:line="264"/>
      </w:pPr>
      <w:r>
        <w:rPr>
          <w:sz w:val="20"/>
          <w:szCs w:val="20"/>
        </w:rPr>
        <w:t xml:space="preserve">МСФО 9 идёт в ту же сторону, но с обратного конца: пункт 5.5.7 требует симметричного возврата к двенадцатимесячным ожидаемым кредитным убыткам, как только критерий значительного увеличения кредитного риска перестал выполняться, и никакого испытательного периода не вводит вовсе. Казахстанское регулирование в этой части строже стандарта, а порог 15 дней ужесточает конструкцию ещё раз.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Единственная возможная претензия — противоположного направления.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Избыточно строгий критерий удерживает актив в третьей стадии после того, как признаки обесценения отпали, что расходится с симметрией пункта 5.5.7 МСФО 9. Это вопрос аудитора, а не регулятора, и снимается статистикой связи «событие — улучшение» по пункту 5.4.2 стандарта.</w:t>
      </w:r>
    </w:p>
    <w:p>
      <w:pPr>
        <w:pStyle w:val="Heading1"/>
        <w:spacing w:after="160" w:before="320"/>
      </w:pPr>
      <w:r>
        <w:t xml:space="preserve">2. Что в конструкции не работает: порог 15 дней означает 45</w:t>
      </w:r>
    </w:p>
    <w:p>
      <w:pPr>
        <w:spacing w:after="120" w:line="264"/>
      </w:pPr>
      <w:r>
        <w:rPr>
          <w:sz w:val="20"/>
          <w:szCs w:val="20"/>
        </w:rPr>
        <w:t xml:space="preserve">Наблюдения доступны только на 1-е число месяца: 01.02, 01.03, 01.04, 01.05, 01.06, 01.07 и 01.08.2026 — семь срезов, 181 день. Критерий проверяется только на отчётную дату.</w:t>
      </w:r>
    </w:p>
    <w:p>
      <w:pPr>
        <w:pStyle w:val="Heading2"/>
        <w:spacing w:after="120" w:before="240"/>
      </w:pPr>
      <w:r>
        <w:t xml:space="preserve">2.1. Что при этом работает и работает хорошо</w:t>
      </w:r>
    </w:p>
    <w:p>
      <w:pPr>
        <w:spacing w:after="120" w:line="264"/>
      </w:pPr>
      <w:r>
        <w:rPr>
          <w:sz w:val="20"/>
          <w:szCs w:val="20"/>
        </w:rPr>
        <w:t xml:space="preserve">Условие о шести платежах подряд поглощается условием по просрочке. Без платежа просрочка растёт ровно на число прошедших дней: DPD(t+1) = DPD(t) + 30. Получить значение не выше 15 на следующем срезе, не внеся платёж, достигающий старейшего просроченного взноса, арифметически невозможно.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Отсюда: шесть последовательных срезов с просрочкой не выше 15 дней доказывают шесть платежей. Отдельная проверка факта платежей избыточна и годится как контроль качества данных, а не как самостоятельный критерий.</w:t>
      </w:r>
    </w:p>
    <w:p>
      <w:pPr>
        <w:pStyle w:val="Heading2"/>
        <w:spacing w:after="120" w:before="240"/>
      </w:pPr>
      <w:r>
        <w:t xml:space="preserve">2.2. Что не работает</w:t>
      </w:r>
    </w:p>
    <w:p>
      <w:pPr>
        <w:spacing w:after="120" w:line="264"/>
      </w:pPr>
      <w:r>
        <w:rPr>
          <w:sz w:val="20"/>
          <w:szCs w:val="20"/>
        </w:rPr>
        <w:t xml:space="preserve">Порог на отчётные даты не ограничивает просрочку между ними. Между двумя срезами просрочка растёт до момента поступления платежа.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Просрочка на срезе</w:t>
            </w:r>
          </w:p>
        </w:tc>
        <w:tc>
          <w:tcPr>
            <w:tcW w:type="dxa" w:w="3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Максимум внутри месяца до платежа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 дней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30 дней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 дней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35 дней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 дней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40 дней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 дней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45 дней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Правило «не выше 15 дней на 1-е число» по существу является правилом «не выше 45 дней в течение месяца».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И 45 дней пересекают порог 30 дней — тот самый, который Правила № 61 и МСФО 9 называют значительным увеличением кредитного риска. Заём может дважды в месяц пересекать этот порог и проходить тест на каждой отчётной дате.</w:t>
      </w:r>
    </w:p>
    <w:p>
      <w:pPr>
        <w:spacing w:after="120" w:line="264"/>
      </w:pPr>
      <w:r>
        <w:rPr>
          <w:sz w:val="20"/>
          <w:szCs w:val="20"/>
        </w:rPr>
        <w:t xml:space="preserve">Заявлять консерватизм, имея эффективные 45 дней, — уязвимость, которую найдут на первой же проверке.</w:t>
      </w:r>
    </w:p>
    <w:p>
      <w:pPr>
        <w:pStyle w:val="Heading2"/>
        <w:spacing w:after="120" w:before="240"/>
      </w:pPr>
      <w:r>
        <w:t xml:space="preserve">2.3. Как это соотносится с нормой</w:t>
      </w:r>
    </w:p>
    <w:p>
      <w:pPr>
        <w:spacing w:after="120" w:line="264"/>
      </w:pPr>
      <w:r>
        <w:rPr>
          <w:sz w:val="20"/>
          <w:szCs w:val="20"/>
        </w:rPr>
        <w:t xml:space="preserve">Требования пункта 15 Правил № 61 к периоду сформулированы по-разному, и точечный тест соответствует одному из них и не соответствует другому.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00"/>
        <w:gridCol w:w="3000"/>
      </w:tblGrid>
      <w:tr>
        <w:trPr>
          <w:tblHeader/>
        </w:trPr>
        <w:tc>
          <w:tcPr>
            <w:tcW w:type="dxa" w:w="2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Требование</w:t>
            </w:r>
          </w:p>
        </w:tc>
        <w:tc>
          <w:tcPr>
            <w:tcW w:type="dxa" w:w="4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Формулировка</w:t>
            </w:r>
          </w:p>
        </w:tc>
        <w:tc>
          <w:tcPr>
            <w:tcW w:type="dxa" w:w="30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Точечный тест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Абзац первый: отсутствие событий обесценения</w:t>
            </w:r>
          </w:p>
        </w:tc>
        <w:tc>
          <w:tcPr>
            <w:tcW w:type="dxa" w:w="4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«в случае отсутствия на дату оценки событий, являющихся объективными подтверждениями обесценения»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Соответствует: норма сама точечная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Подпункт 1: испытательный период</w:t>
            </w:r>
          </w:p>
        </w:tc>
        <w:tc>
          <w:tcPr>
            <w:tcW w:type="dxa" w:w="4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«период, в течение которого не наблюдается ухудшение финансового состояния заемщика»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Не соответствует: «в течение» есть требование ко всему периоду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Разрыв не в пороге и не в норме, а в разрешающей способности данных: на семи срезах утверждение «в течение периода» непроверяемо в принципе.</w:t>
      </w:r>
    </w:p>
    <w:p>
      <w:pPr>
        <w:pStyle w:val="Heading2"/>
        <w:spacing w:after="120" w:before="240"/>
      </w:pPr>
      <w:r>
        <w:t xml:space="preserve">2.4. Побочное смещение, о котором стоит знать заранее</w:t>
      </w:r>
    </w:p>
    <w:p>
      <w:pPr>
        <w:spacing w:after="120" w:line="264"/>
      </w:pPr>
      <w:r>
        <w:rPr>
          <w:sz w:val="20"/>
          <w:szCs w:val="20"/>
        </w:rPr>
        <w:t xml:space="preserve">Просрочка на 1-е число зависит не только от платёжной дисциплины, но и от того, куда попадает дата планового платежа по договору. Два заёмщика с одинаковым опозданием на 20 дней дадут разный результат: при платёжной дате 25-го числа просрочка на 1-е составит 6 дней и тест пройдёт, при платёжной дате 10-го — 21 день и тест не пройдёт. Величина смещения достигает 29 дней.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То есть критерий частично измеряет расположение платёжной даты в месяце, а не поведение заёмщика.</w:t>
      </w:r>
    </w:p>
    <w:p>
      <w:pPr>
        <w:pStyle w:val="Heading1"/>
        <w:spacing w:after="160" w:before="320"/>
      </w:pPr>
      <w:r>
        <w:t xml:space="preserve">3. Решение по конструкции наблюдения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Запросить даты фактических платежей, а не более частые срезы просрочки.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Тогда внутримесячный пик считается точно как «просрочка на срезе плюс число дней от среза до платежа», и порог 15 дней становится проверяемым утверждением, а не декларацией. Даты платежей есть в транзакционной системе даже там, где отчётность месячная, и получить их дешевле, чем менять периодичность отчётов.</w:t>
      </w:r>
    </w:p>
    <w:p>
      <w:pPr>
        <w:spacing w:after="120" w:line="264"/>
      </w:pPr>
      <w:r>
        <w:rPr>
          <w:sz w:val="20"/>
          <w:szCs w:val="20"/>
        </w:rPr>
        <w:t xml:space="preserve">Если даты платежей недоступны, порог на отчётные даты понижается до нуля. Это единственное значение, при котором точечный тест гарантирует непересечение порога 30 дней между срезами.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Промежуточных вариантов месячная сетка не даёт: 15 дней на срезах означают внутримесячный пик 45 дней, 0 дней на срезах — пик 30 дней. Выбор делается между этими двумя.</w:t>
      </w:r>
    </w:p>
    <w:p>
      <w:pPr>
        <w:pStyle w:val="Heading1"/>
        <w:spacing w:after="160" w:before="320"/>
      </w:pPr>
      <w:r>
        <w:t xml:space="preserve">4. Шестимесячный период: принимается условно</w:t>
      </w:r>
    </w:p>
    <w:p>
      <w:pPr>
        <w:spacing w:after="120" w:line="264"/>
      </w:pPr>
      <w:r>
        <w:rPr>
          <w:sz w:val="20"/>
          <w:szCs w:val="20"/>
        </w:rPr>
        <w:t xml:space="preserve">Пункт 15 подпункт 1 Правил № 61 состоит из трёх предложений. Первое задаёт случай вынужденной реструктуризации: начало периода — дата её предоставления, длительность не менее 12 месяцев. Второе допускает сокращение до 6 месяцев по займам физических лиц, оцениваемым на коллективной основе, при наличии исторической статистики о стабилизации динамики выхода на просрочку начиная с седьмого платежа. Третье меняет точку отсчёта для иных событий обесценения — с момента исключения события.</w:t>
      </w:r>
    </w:p>
    <w:p>
      <w:pPr>
        <w:pStyle w:val="Heading2"/>
        <w:spacing w:after="120" w:before="240"/>
      </w:pPr>
      <w:r>
        <w:t xml:space="preserve">4.1. Пять условий применимости шести месяцев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4100"/>
      </w:tblGrid>
      <w:tr>
        <w:trPr>
          <w:tblHeader/>
        </w:trPr>
        <w:tc>
          <w:tcPr>
            <w:tcW w:type="dxa" w:w="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5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Условие</w:t>
            </w:r>
          </w:p>
        </w:tc>
        <w:tc>
          <w:tcPr>
            <w:tcW w:type="dxa" w:w="41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Источник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Заём выдан физическому лицу</w:t>
            </w:r>
          </w:p>
        </w:tc>
        <w:tc>
          <w:tcPr>
            <w:tcW w:type="dxa" w:w="4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п. 15 пп. 1, предложение 2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Оценивается на коллективной основе, то есть не подпадает под определение индивидуального финансового актива: валовая стоимость свыше 0,2 процента собственного капитала, но не менее 50 млн тенге, либо требование к взаимосвязанной стороне</w:t>
            </w:r>
          </w:p>
        </w:tc>
        <w:tc>
          <w:tcPr>
            <w:tcW w:type="dxa" w:w="4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п. 15 пп. 1; определение 5)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Есть историческая статистика погашения займов физических лиц, свидетельствующая о стабилизации динамики выхода на просрочку начиная с седьмого платежа</w:t>
            </w:r>
          </w:p>
        </w:tc>
        <w:tc>
          <w:tcPr>
            <w:tcW w:type="dxa" w:w="4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п. 15 пп. 1, предложение 2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Период зафиксирован во внутреннем документе финансовой организации</w:t>
            </w:r>
          </w:p>
        </w:tc>
        <w:tc>
          <w:tcPr>
            <w:tcW w:type="dxa" w:w="4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п. 15 пп. 1, предложение 1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Точка отсчёта определена верно: дата вынужденной реструктуризации либо, по иным событиям, момент исключения события</w:t>
            </w:r>
          </w:p>
        </w:tc>
        <w:tc>
          <w:tcPr>
            <w:tcW w:type="dxa" w:w="4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п. 15 пп. 1, предложения 1 и 3</w:t>
            </w:r>
          </w:p>
        </w:tc>
      </w:tr>
    </w:tbl>
    <w:p>
      <w:pPr>
        <w:pStyle w:val="Heading2"/>
        <w:spacing w:after="120" w:before="240"/>
      </w:pPr>
      <w:r>
        <w:t xml:space="preserve">4.2. Две трещины, остающиеся при выполнении всех пяти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Первая: статистика требуется по другой популяции.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Норма говорит о статистике погашения реструктуризированных займов. Если заём попал в дефолт через просрочку свыше 90 дней и никогда не реструктурировался, обоснование опирается на выборку другого типа. Текст этого не запрещает, но на проверке аргумент слабый, и назвать расхождение лучше самим.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Вторая, и она серьёзнее: конфликт с абзацем первым.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Абзац первый требует погашения задолженности за период не менее 12 месяцев как условия самого перехода. Подпункт 1 говорит о периоде, в течение которого не наблюдается ухудшение финансового состояния. Это либо один и тот же срок, либо два разных.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100"/>
        <w:gridCol w:w="2900"/>
      </w:tblGrid>
      <w:tr>
        <w:trPr>
          <w:tblHeader/>
        </w:trPr>
        <w:tc>
          <w:tcPr>
            <w:tcW w:type="dxa" w:w="1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Чтение</w:t>
            </w:r>
          </w:p>
        </w:tc>
        <w:tc>
          <w:tcPr>
            <w:tcW w:type="dxa" w:w="51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Смысл</w:t>
            </w:r>
          </w:p>
        </w:tc>
        <w:tc>
          <w:tcPr>
            <w:tcW w:type="dxa" w:w="2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Следствие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Буквальное</w:t>
            </w:r>
          </w:p>
        </w:tc>
        <w:tc>
          <w:tcPr>
            <w:tcW w:type="dxa" w:w="5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Абзац первый задаёт срок погашения, подпункт 1 — срок наблюдения. Перечень вводится словами «содержат, но не ограничиваясь», то есть описывает содержание внутреннего документа</w:t>
            </w:r>
          </w:p>
        </w:tc>
        <w:tc>
          <w:tcPr>
            <w:tcW w:type="dxa" w:w="2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12 месяцев обязательны всегда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Смысловое</w:t>
            </w:r>
          </w:p>
        </w:tc>
        <w:tc>
          <w:tcPr>
            <w:tcW w:type="dxa" w:w="5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Подпункт 1 конкретизирует тот же срок, о котором говорит абзац первый</w:t>
            </w:r>
          </w:p>
        </w:tc>
        <w:tc>
          <w:tcPr>
            <w:tcW w:type="dxa" w:w="2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Шести месяцев достаточно при пяти условиях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sz w:val="20"/>
          <w:szCs w:val="20"/>
        </w:rPr>
        <w:t xml:space="preserve">Принимается смысловое чтение. Основание: требуемая статистика описана как стабилизация начиная с седьмого платежа, и ссылка на седьмой платёж осмысленна только при окне наблюдения в шесть платежей. При буквальном чтении это уточнение не имело бы назначения.</w:t>
      </w:r>
    </w:p>
    <w:p>
      <w:pPr>
        <w:spacing w:after="120" w:line="264"/>
      </w:pPr>
      <w:r>
        <w:rPr>
          <w:sz w:val="20"/>
          <w:szCs w:val="20"/>
        </w:rPr>
        <w:t xml:space="preserve">Три действия, без которых выбранное чтение не защищается: предъявить статистику с прямой оговоркой о популяции; зафиксировать чтение в Методике расчёта провизий со ссылкой на пункты; запросить письменное подтверждение уполномоченного органа. Последнее дешевле, чем спорить постфактум по всему портфелю.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Если статистики нет — период составляет 12 месяцев, и окно наблюдения смещается на 01.08.2025 — 01.08.2026. Это не смягчается ничем: второе предложение подпункта 1 обусловлено статистикой прямо.</w:t>
      </w:r>
    </w:p>
    <w:p>
      <w:pPr>
        <w:pStyle w:val="Heading1"/>
        <w:spacing w:after="160" w:before="320"/>
      </w:pPr>
      <w:r>
        <w:t xml:space="preserve">5. Обязательные условия до внедрения</w:t>
      </w:r>
    </w:p>
    <w:p>
      <w:pPr>
        <w:spacing w:after="120" w:line="264"/>
      </w:pPr>
      <w:r>
        <w:rPr>
          <w:sz w:val="20"/>
          <w:szCs w:val="20"/>
        </w:rPr>
        <w:t xml:space="preserve">Это не риски, а нарушения, если не выполнить.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00"/>
        <w:gridCol w:w="4000"/>
      </w:tblGrid>
      <w:tr>
        <w:trPr>
          <w:tblHeader/>
        </w:trPr>
        <w:tc>
          <w:tcPr>
            <w:tcW w:type="dxa" w:w="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5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Что сделать</w:t>
            </w:r>
          </w:p>
        </w:tc>
        <w:tc>
          <w:tcPr>
            <w:tcW w:type="dxa" w:w="40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Внести критерии оздоровления в Методику расчёта провизий: сам порог, период, условие по сумме и условие об отсрочке</w:t>
            </w:r>
          </w:p>
        </w:tc>
        <w:tc>
          <w:tcPr>
            <w:tcW w:type="dxa" w:w="4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П. 25 Правил № 61, подпункты 2, 7 и 8. Подпункт 7 прямо требует критериев значительного увеличения кредитного риска «при его увеличении и (или) уменьшении». Пункт закрывается фразой «не допускается определение в Методике неполных перечней»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Обеспечить единое определение дефолта в учёте провизий, в работе с просроченной задолженностью и в модели вероятности дефолта</w:t>
            </w:r>
          </w:p>
        </w:tc>
        <w:tc>
          <w:tcPr>
            <w:tcW w:type="dxa" w:w="4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П. B5.5.37 МСФО 9: определение дефолта «shall be consistent with the definition used for internal credit risk management purposes» и применяется единообразно ко всем инструментам. Правила № 86 требуют того же от методологии моделей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Выбрать критерий по сумме и записать его: валовая балансовая стоимость не выше уровня на дату входа в дефолт либо сумма платежей не менее ранее просроченной задолженности</w:t>
            </w:r>
          </w:p>
        </w:tc>
        <w:tc>
          <w:tcPr>
            <w:tcW w:type="dxa" w:w="4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П. 15 Правил № 61, абзац первый и подпункт 3 — это два разных критерия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Получить дату входа в дефолт и остаток на неё по каждому договору</w:t>
            </w:r>
          </w:p>
        </w:tc>
        <w:tc>
          <w:tcPr>
            <w:tcW w:type="dxa" w:w="4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Семь срезов с 01.02.2026 этого не содержат, а без этого условие по сумме не считается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Определить «значительную отсрочку платежей» и правило: период отсрочки испытательный срок не накапливает</w:t>
            </w:r>
          </w:p>
        </w:tc>
        <w:tc>
          <w:tcPr>
            <w:tcW w:type="dxa" w:w="4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П. 15 подпункт 2 Правил № 61 называет значительную отсрочку в числе условий, при которых стадия обесценения не меняется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Пункт 1 стоит выделить: он переворачивает интуицию.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Опасен не порог, а порог, применяемый и не записанный в Методику. Само по себе значение 15 дней безопасно; нарушением является неполнота Методики, и снимается оно правкой документа, а не изменением порога.</w:t>
      </w:r>
    </w:p>
    <w:p>
      <w:pPr>
        <w:pStyle w:val="Heading1"/>
        <w:spacing w:after="160" w:before="320"/>
      </w:pPr>
      <w:r>
        <w:t xml:space="preserve">6. Что раскрыть при вынесении и чего решение не закрывает</w:t>
      </w:r>
    </w:p>
    <w:p>
      <w:pPr>
        <w:pStyle w:val="Heading2"/>
        <w:spacing w:after="120" w:before="240"/>
      </w:pPr>
      <w:r>
        <w:t xml:space="preserve">6.1. Эффект на неработающие займы — отдельной строкой</w:t>
      </w:r>
    </w:p>
    <w:p>
      <w:pPr>
        <w:spacing w:after="120" w:line="264"/>
      </w:pPr>
      <w:r>
        <w:rPr>
          <w:sz w:val="20"/>
          <w:szCs w:val="20"/>
        </w:rPr>
        <w:t xml:space="preserve">Неработающие займы по Нормативам № 85 определены через признаки обесценения по Правилам № 61, то есть совпадают с третьей стадией. Значит любое изменение критерия оздоровления немедленно двигает лимит главы 11 Нормативов, а по контуру лимитов этот лимит уже сработал.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Нормативного нарушения здесь нет. Но это первый вопрос службы внутреннего аудита: улучшение метрики достигнуто изменением критерия, а не качеством портфеля. Раскрывать надо в разбивке: сколько неработающих займов уходит по новому правилу и сколько ушло бы по действующему.</w:t>
      </w:r>
    </w:p>
    <w:p>
      <w:pPr>
        <w:pStyle w:val="Heading2"/>
        <w:spacing w:after="120" w:before="240"/>
      </w:pPr>
      <w:r>
        <w:t xml:space="preserve">6.2. Три факта, без которых решение остаётся условным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Существует ли статистика стабилизации выхода на просрочку начиная с седьмого платежа и по какой популяции она построена. Определяет: шесть месяцев или двенадцать.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Через что займы попадали в дефолт — вынужденная реструктуризация или просрочка свыше 90 дней. Определяет прочность обоснования по статистике.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Доступны ли даты фактических платежей, а также дата входа в дефолт и остаток на неё. Определяет: порог 15 дней или 0, и считается ли условие по сумме вообще.</w:t>
      </w:r>
    </w:p>
    <w:p>
      <w:pPr>
        <w:pStyle w:val="Heading1"/>
        <w:spacing w:after="160" w:before="320"/>
      </w:pPr>
      <w:r>
        <w:t xml:space="preserve">7. Итог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Порог 15 дней нормативно допустим, но в связке с месячной сеткой означает 45 дней.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Шестимесячный период допустим при наличии статистики, которой мы пока не видели. Внедрять можно после того, как критерии записаны в Методику расчёта провизий, а не до этого.</w:t>
      </w:r>
    </w:p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Оговорка. Все нормативные положения выше прочитаны в оригинале и цитируются по номерам пунктов. Там, где вывод является выбором между двумя чтениями нормы, это указано прямо и приведены аргументы за каждое. Данных по портфелю не поступало: эффект на неработающие займы в настоящей записке не рассчитан.</w:t>
      </w:r>
    </w:p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2026-08-24T13:26:53.062Z</dcterms:created>
  <dcterms:modified xsi:type="dcterms:W3CDTF">2026-08-24T13:26:53.076Z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