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РИСК-АППЕТИТ: КАРТА ДОКУМЕНТОВ И ИСТОЧНИКОВ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Где что лежит: внутренние нормативные документы, регуляторная база, приложения, данные. Реестр прочитанного, недостающего и выявленных расхождений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Навигация по нормативной базе задачи. Отвечает на вопрос «где искать» до того, как начинать искать. Используется вместе с рабочим документом «Риск-аппетит: статус-кво и проекция» v2.0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17.08.2026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Прочитаны полностью: 4 регуляторных акта и 7 внутренних документов и приложений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Рабочий. Пополняется по мере получения недостающих документов из § 7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Две поправки к ранее сделанным выводам приведены в § 6 — их надо прочитать до использования предыдущей версии рабочего документа.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Иерархия документов</w:t>
      </w:r>
    </w:p>
    <w:p>
      <w:pPr>
        <w:spacing w:after="120" w:line="264"/>
      </w:pPr>
      <w:r>
        <w:rPr>
          <w:sz w:val="20"/>
          <w:szCs w:val="20"/>
        </w:rPr>
        <w:t xml:space="preserve">Конструкция трёхуровневая, и числа лежат не там, где их обычно ищут.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8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5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в нём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Верхний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Стратегия риск-аппетита (СТ)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Принципы, риск-профиль Банка, риск-культура, требования к уровням, три предела уровня рисков, ответственность подразделений. Чисел нет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определения аппетита к риску (ПТ)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Перечень мер риска по каждому виду существенного риска, распределение ролей СД / Правление / КРВК / БРМ / ФД / ДБУиО / СКиВК, порядок отчётности. Числовые уровни вынесены в Приложение № 3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Методика определения и расчёта агрегированных уровней риск-аппетита (МД)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Только ACARI и ALRI: принципы агрегирования, участники, формулы (Приложение № 1) и триггеры зон (Приложение № 2). Остальные метрики не покрыты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Нижний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Приложения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Все числа: уровни риск-аппетита — Приложение № 3 к Политике; мастер-шкала рейтинга — Приложение № 4 к Политике; формулы и веса ACARI/ALRI — Приложение № 1 к Методике; зоны по капиталу и ликвидности — Приложение № 2 к Методике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Практическое следствие.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Пересмотр уровней риск-аппетита — это по существу изменение Приложения № 3 к Политике, а не переписывание Политики. Порядок утверждения приложений надо уточнить: если приложение утверждается тем же решением СД, что и сам документ, объём работы по мероприятию 2 плана мероприятий определяется этим, а не текстом Политики.</w:t>
      </w:r>
    </w:p>
    <w:p>
      <w:pPr>
        <w:spacing w:after="120" w:line="264"/>
      </w:pPr>
      <w:r>
        <w:rPr>
          <w:sz w:val="20"/>
          <w:szCs w:val="20"/>
        </w:rPr>
        <w:t xml:space="preserve">Второе следствие: Методика описывает только два показателя из двадцати пяти. Для остальных двадцати трёх документа с формулой расчёта в полученном комплекте нет — это и есть незакрытое требование п. 17 Правил № 86 и задача 2 в устной постановке.</w:t>
      </w:r>
    </w:p>
    <w:p>
      <w:pPr>
        <w:pStyle w:val="Heading1"/>
        <w:spacing w:after="160" w:before="320"/>
      </w:pPr>
      <w:r>
        <w:t xml:space="preserve">2. Внутренние нормативные документы</w:t>
      </w:r>
    </w:p>
    <w:p>
      <w:pPr>
        <w:pStyle w:val="Heading2"/>
        <w:spacing w:after="120" w:before="240"/>
      </w:pPr>
      <w:r>
        <w:t xml:space="preserve">2.1. Получено и прочитано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5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Утверждён</w:t>
            </w:r>
          </w:p>
        </w:tc>
        <w:tc>
          <w:tcPr>
            <w:tcW w:type="dxa" w:w="5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искать внутри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Стратегия риск-аппетита (СТ)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СД, протокол № 6 от 03.02.2021; действующая редакция — протокол № 121 от 29.12.2023, введена 09.01.2024. Подписал: Председатель Правления Морозов В. В.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19 — предложения по риск-аппетиту на СД не реже 1 раза в год. П. 23 — требования к уровням. П. 24 — критерии эффективных уровней, включая пересмотр на актуальность не реже одного раза в год. П. 26 — три предела уровня рисков. П. 27 — оценка приемлемости через стресс-тестирование. П. 29 — порядок пересмотра. П. 30–33 — ответственность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определения аппетита к риску (ПТ)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СД, протокол № 109 от 08.10.2015; пять редакций, последняя — протокол № 121 от 29.12.2023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3 — определения. П. 11 — отчёт об уровнях РА не реже раза в год, форма № 50. П. 12 — маршрут выноса: Правление → КРВК → СД. П. 12-1 — СД рассматривает достижение пороговых значений и нарушение лимитов. Глава 4 § 1 (п. 13–18-1) и таблица № 2 — меры риска по кредитному риску. П. 23-1, 23-3 — ACARI и ALRI. Раздел ролей — п. 26–29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Методика определения и расчёта агрегированных уровней риск-аппетита (МД)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СД, протокол № 33 от 16.06.2021; редакции — протокол № 5 от 25.01.2023 и № 121 от 29.12.2023. Подписал: Управляющий директор БРМ Альтамиров И. А.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8 — определения k1, k1-2, k2, LCR, NSFR, HLA. П. 9–16 — участники и их функции. П. 17–43 — принципы агрегирования данных. П. 44–47 — ALRI. П. 48–51 — ACARI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1 к Политике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 мероприятий по реализации Политики. П. 1 — приведение Политики в соответствие при изменении регулирования. П. 2 — мониторинг Политики на актуальность не реже 1 раза в год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2 к Политике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 мониторинга Политики. Раздел 2, глава 2, п. 4 — требование о наличии инструментов контроля уровня риска; статус «G-Внедрено», эффективность «Работает эффективно». Классификация типов риска внутри каждого вида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6 к Политике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SIPOC процесса формирования отчёта. ID операции 3.4.2.5. Автоматизация 30 % при целевых 40 %. SLA 5 ч при целевых 3,5 ч. ИТ-системы: Lotus Notes, RS-bank, OracleBI, МУОР. KPI обновления стресс-сценариев: 1 раз в год при целевых 1 раз в полгода. Обоснование: единой базы данных нет, данные собираются из разных источников разными подразделениями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1 к Методике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Формулы и веса ACARI и ALRI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2 к Методике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Пределы уровней рисков (триггеры) ACARI, ALRI и их составляющих — зелёная, жёлтая, красная зоны с числовыми границами</w:t>
            </w:r>
          </w:p>
        </w:tc>
      </w:tr>
    </w:tbl>
    <w:p>
      <w:pPr>
        <w:pStyle w:val="Heading2"/>
        <w:spacing w:after="120" w:before="240"/>
      </w:pPr>
      <w:r>
        <w:t xml:space="preserve">2.2. Известно о существовании, но не получено</w:t>
      </w:r>
    </w:p>
    <w:p>
      <w:pPr>
        <w:spacing w:after="120" w:line="264"/>
      </w:pPr>
      <w:r>
        <w:rPr>
          <w:sz w:val="20"/>
          <w:szCs w:val="20"/>
        </w:rPr>
        <w:t xml:space="preserve">Перечень приложений Политики восстановлен по самому документу; остальные позиции — по ссылкам внутри прочитанных документов.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5600"/>
      </w:tblGrid>
      <w:tr>
        <w:trPr>
          <w:tblHeader/>
        </w:trPr>
        <w:tc>
          <w:tcPr>
            <w:tcW w:type="dxa" w:w="2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5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Зачем нужен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3 к Политике — «Структурированный перечень существенных рисков Банка с уровнями риск-аппетита и агрегированными уровнями риск-аппетита»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Все числовые уровни: 95 %, 3 %, 3,5 %, 9/10/7/10 %, 15/15/15/7/14 %, минимумы по капиталу и ликвидности, лимиты по операционному и комплаенс-риску. Без него невозможно ни проверить действующие уровни, ни предложить изменение. Это предмет мероприятий 1 и 2 плана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4 к Политике — мастер-шкала внутреннего кредитного рейтинга по КБ/Приват Банкинг и МСБ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Шкала 1–50 с уровнем отсечения 33. Известна частично: границы полос [1–13], [14–33], [34–50]. Нужны полные наименования полос и правило соответствия «рейтинг клиента × рейтинг сделки → уровень отсечения»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Инструкция по формированию управленческой отчётности, Приложение № 2, форма отчёта № 50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Форма отчёта об уровнях риск-аппетита. Определяет, какие графы обязательны — отсюда вопрос, почему в форме нет граф под допустимый уровень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Методика расчёта провизий (резервов) по МСФО (внутренняя)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Определение внутреннего кредитного рейтинга — на неё ссылается п. 14 Политики. Также определение ожидаемых потерь для проверки, что считается в «уровне ожидаемой стоимости риска»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ВНД по ВПОДК и ВПОДЛ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10 пп. 4 Методики: СД утверждает ВНД, регламентирующий подходы и принципы ВПОДК и ВПОДЛ. Там же — внутренний целевой уровень капитала, если он есть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Правила установления и пересмотра лимитов по рыночным рискам и риску ликвидности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Порядок расчёта и пересмотра HLA — ссылка п. 23-2 Политики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управления капиталом; Политика по управлению риском ликвидности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6, 7 Методики: там описаны ВПОДК и ВПОДЛ по существу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управления рыночными рисками; Политика управления операционными рисками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пп. 7 Стратегии называет их в составе комплекта. Нужны для метрик VaR и операционного риска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Инструкция формирования и предоставления регуляторной отчётности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14 Методики: по ней ДБУиО рассчитывает k1, k1-2, k2, LCR, NSFR и передаёт в БРМ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Стратегия развития Банка, бюджет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Политики: уровень ожидаемой стоимости риска определяется с учётом общих бюджетных показателей по финансированию — то есть происхождение лимитов CoR лежит здесь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Регуляторная база</w:t>
      </w:r>
    </w:p>
    <w:p>
      <w:pPr>
        <w:pStyle w:val="Heading2"/>
        <w:spacing w:after="120" w:before="240"/>
      </w:pPr>
      <w:r>
        <w:t xml:space="preserve">3.1. Действующие акты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6200"/>
      </w:tblGrid>
      <w:tr>
        <w:trPr>
          <w:tblHeader/>
        </w:trPr>
        <w:tc>
          <w:tcPr>
            <w:tcW w:type="dxa" w:w="2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Акт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в нём для нас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Пост. Правления АРРФР от 28.04.2026 № 86 — Правила формирования СУР и ВК (рег. № 38586)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Действует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2 пп. 41, 42 — определения риск-аппетита и заявления РА. Глава 3 (п. 12–18) — стратегия риск-аппетита: требования к уровням (п. 15–16), процедура определения (п. 17), три предела уровня рисков и оценка приемлемости через стресс-тест (п. 18). П. 34 пп. 5, 6 — функции подразделения по управлению рисками, включая триггеры раннего предупреждения. Структура отчёта по ВПОДК, Таблица 2 — форма по лимитам риск-аппетита с графой под допустимый уровень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Пост. Правления АРРФР от 28.04.2026 № 85 — пруденциальные нормативы и лимиты (рег. № 38587)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Действует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Значения k1, k1-2, k2 с консервационным и системным буферами; консервационный буфер 2,5 % и 3 %; надзорные надбавки SREP 0–3 % и SREP с AQR 0–6 %, устанавливаются ежегодно; буфер по надзорному стресс-тесту, ежегодно. Минимумы LCR и NSFR: 0,9 до 31.12.2027 и 1,0 с 01.01.2028. k3 = 0,25 и k3-1 = 0,10; совокупный лимит по заёмщикам с риском свыше 10 % СК — не более пятикратного СК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Пост. Правления НБ РК от 25.08.2025 № 52 — макропруденциальные нормативы (рег. № 36722, в ред. от 11.03.2026 № 18)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Действует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Контрциклический буфер 0–3 % от RWA; секторальный контрциклический буфер 0–6 % от активов сектора; коэффициент долговой нагрузки заёмщика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Пост. Правления АРРФР от 29.09.2025 № 61 — Правила создания провизий по МСФО (рег. № 36994)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Действует с 01.01.2026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Дефолт — просрочка свыше 90 календарных дней и иные признаки. Внутренняя рейтинговая модель. Пороговое значение абсолютной PD для SICR. Требования к дискриминирующей способности моделей и к независимости валидации. Пороговые значения LTV</w:t>
            </w:r>
          </w:p>
        </w:tc>
      </w:tr>
    </w:tbl>
    <w:p>
      <w:pPr>
        <w:pStyle w:val="Heading2"/>
        <w:spacing w:after="120" w:before="240"/>
      </w:pPr>
      <w:r>
        <w:t xml:space="preserve">3.2. Утратившие силу — и это отдельная проблема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Пост. Правления НБ РК от 12.11.2019 № 188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Заменено № 86 от 28.04.2026. Ссылки на него сохранились в преамбулах Стратегии, Политики и Методики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Пост. Правления НБ РК от 13.09.2017 № 170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Заменено № 85 от 28.04.2026. Ссылки сохранились в преамбуле Политики, в п. 44 и 48 Методики, в сноске к Приложению № 1 к Методике и в SIPOC (Приложение № 6)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Пост. Правления НБ РК от 22.12.2017 № 269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Утратило силу с 01.01.2026 (пост. № 61). В работе не используется; может понадобиться при оценке сопоставимости исторического ряда EL и PD через границу 01.01.2026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Все три внутренних документа комплекта разработаны «в соответствии с» нормативными актами, которые больше не действуют. Это самостоятельное и бесспорное основание для их актуализации, не зависящее ни от риск-профиля, ни от результатов анализа. Приложение № 1 к Политике, п. 1 прямо предусматривает такую процедуру.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Где что лежит: матрица вопросов</w:t>
      </w:r>
    </w:p>
    <w:p>
      <w:pPr>
        <w:spacing w:after="120" w:line="264"/>
      </w:pPr>
      <w:r>
        <w:rPr>
          <w:sz w:val="20"/>
          <w:szCs w:val="20"/>
        </w:rPr>
        <w:t xml:space="preserve">Основная навигационная таблица. Вопрос — источник ответа — статус.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  <w:gridCol w:w="2700"/>
      </w:tblGrid>
      <w:tr>
        <w:trPr>
          <w:tblHeader/>
        </w:trPr>
        <w:tc>
          <w:tcPr>
            <w:tcW w:type="dxa" w:w="2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4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Где ответ</w:t>
            </w:r>
          </w:p>
        </w:tc>
        <w:tc>
          <w:tcPr>
            <w:tcW w:type="dxa" w:w="2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Что такое риск-аппетит, ёмкость, заявление РА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86 п. 2 пп. 41, 42; Стратегия п. 8; Политика п. 3; Методика п. 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Какие меры риска установлены по кредитному риску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Политика, таблица № 2 (глава 4 § 1)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Какие числовые уровни установлены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3 к Политике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 ПОЛУЧЕНО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считается ACARI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1 к Методике: среднее k1, k1-2, k2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считается ALRI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1 к Методике: среднее LCR, HLA, NSFR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считаются остальные 23 метрики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Документа нет ни в одном из полученных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ПРОБЕЛ — п. 17 № 86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Есть ли предлимиты (зоны)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2 к Методике — по 8 метрикам капитала и ликвидности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Частично: 8 из 25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Кто утверждает уровни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п. 12; Методика п. 10; Стратегия п. 33 — СД, по представлению Правления через КРВК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часто пересматриваются уровни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Стратегия п. 24 — не реже одного раза в год; п. 19 — предложения на СД не реже раза в год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часто готовится отчёт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п. 11 — не реже раза в год, по форме № 50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Что происходит при нарушении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п. 12-1 — СД рассматривает; п. 27 — БРМ разрабатывает перечень мер. Конкретных мер и сроков нет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ПРОБЕЛ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Откуда взялся лимит CoR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п. 15 — с учётом общих бюджетных показателей по финансированию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Направление найдено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Откуда взялся лимит топ-20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п. 14 — намерение не иметь высокую концентрацию. Расчёта нет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 восстановлен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Что такое уровень отсечения 33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4 к Политике — мастер-шкала; определение рейтинга — Методика расчёта провизий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Частично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Регуляторные минимумы по капиталу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85, значения с консервационным и системным буферами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Регуляторные минимумы по ликвидности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85 — LCR и NSFR 0,9, с 01.01.2028 — 1,0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Регуляторные требования к концентрации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85 — k3, k3-1, совокупный лимит по крупным заёмщикам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Кто считает k1, k1-2, k2, LCR, NSFR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Методика п. 14 — ДБУиО, затем передаёт в БРМ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Кто считает HLA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Методика п. 13 пп. 9 — БРМ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Кто прогнозирует достаточность капитала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Методика п. 15 пп. 3 — ФД, годовой прогноз по бюджету, ежемесячная актуализация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Где лежат данные для отчёта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SIPOC: Lotus Notes, RS-bank, OracleBI, МУОР. Единой базы нет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 — и это диагноз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Форма регуляторной отчётности по РА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86, Структура отчёта по ВПОДК, Таблица 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Триггеры, которые уже установлены</w:t>
      </w:r>
    </w:p>
    <w:p>
      <w:pPr>
        <w:spacing w:after="120" w:line="264"/>
      </w:pPr>
      <w:r>
        <w:rPr>
          <w:sz w:val="20"/>
          <w:szCs w:val="20"/>
        </w:rPr>
        <w:t xml:space="preserve">Приложение № 2 к Методике устанавливает зоны по восьми метрикам. Формулировки зон дословно совпадают с п. 18 Правил № 86 и с п. 26 Стратегии.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700"/>
        <w:gridCol w:w="1700"/>
        <w:gridCol w:w="1500"/>
      </w:tblGrid>
      <w:tr>
        <w:trPr>
          <w:tblHeader/>
        </w:trPr>
        <w:tc>
          <w:tcPr>
            <w:tcW w:type="dxa" w:w="3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Зелёная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Жёлтая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Красная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Факт 01.07.2026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Достаточность основного капитала k1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10,5 %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9,0–10,5 %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9,0 %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20,10 %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Достаточность капитала первого уровня k1-2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11,0 %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10,0–11,0 %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10,0 %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20,10 %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Достаточность собственного капитала k2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13,0 %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11,5–13,0 %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11,5 %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27,60 %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ACARI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15,0 %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14,0–15,0 %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14,0 %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22,60 %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HLA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30 %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25 %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36,79 %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LCR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115 %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110–115 %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110 %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202,58 %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NSFR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115 %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110–115 %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110 %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152,28 %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ALRI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100 %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90–100 %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90 %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130,55 %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Зоны не отражаются в отчёте об уровнях риск-аппетита: там есть только столбцы «факт», «лимит» и «запас». То есть по восьми метрикам работа по задаче 4 сводится не к разработке, а к переносу существующего в отчёт и в графу 6 Таблицы 2 формы ВПОДК.</w:t>
      </w:r>
    </w:p>
    <w:p>
      <w:pPr>
        <w:spacing w:after="120" w:line="264"/>
      </w:pPr>
      <w:r>
        <w:rPr>
          <w:sz w:val="20"/>
          <w:szCs w:val="20"/>
        </w:rPr>
        <w:t xml:space="preserve">Периметр незакрытого: 17 метрик из 25 без зон — 14 кредитных, VaR, операционный риск, комплаенс-риск. Четырнадцать кредитных — ровно периметр замечания СВА.</w:t>
      </w:r>
    </w:p>
    <w:p>
      <w:pPr>
        <w:spacing w:after="120" w:line="264"/>
      </w:pPr>
      <w:r>
        <w:rPr>
          <w:sz w:val="20"/>
          <w:szCs w:val="20"/>
        </w:rPr>
        <w:t xml:space="preserve">Триггеры пересматриваются «по мере необходимости» (п. 47 и 51 Методики) — годовой нормы для них, в отличие от уровней, нет.</w:t>
      </w:r>
    </w:p>
    <w:p>
      <w:pPr>
        <w:pStyle w:val="Heading1"/>
        <w:spacing w:after="160" w:before="320"/>
      </w:pPr>
      <w:r>
        <w:t xml:space="preserve">6. Поправки к выводам версии 2.0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Поправка 1. Предлимиты есть по восьми метрикам.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Ранее было сказано, что предлимиты отсутствуют полностью. Неверно: Приложение № 2 к Методике устанавливает зелёную, жёлтую и красную зоны для k1, k1-2, k2, ACARI, HLA, LCR, NSFR и ALRI с 2021 года. Корректная формулировка: зоны установлены по 8 метрикам из 25, отсутствуют по 17, включая все 14 кредитных.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Поправка 2. Норма о ежегодном пересмотре во внутренних документах есть.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Ранее было сказано, что её нет ни в № 86, ни в Политике, и что источник требования надо искать. Найден: Стратегия риск-аппетита, п. 24, критерий пятый — уровни «регулярно пересматриваются на актуальность не реже одного раза в год». Плюс п. 19: предложения по риск-аппетиту представляются на СД не реже одного раза в год. То есть замечание СВА опирается на прямую внутреннюю норму, и оспаривать его формально не на чем.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Уточнение по Г3.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Гипотеза закрыта арифметически, см. § 8.</w:t>
      </w:r>
    </w:p>
    <w:p>
      <w:pPr>
        <w:spacing w:after="120" w:line="264"/>
      </w:pPr>
      <w:r>
        <w:rPr>
          <w:sz w:val="20"/>
          <w:szCs w:val="20"/>
        </w:rPr>
        <w:t xml:space="preserve">Остальные выводы версии 2.0 остаются в силе.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Расхождения между документами</w:t>
      </w:r>
    </w:p>
    <w:p>
      <w:pPr>
        <w:spacing w:after="120" w:line="264"/>
      </w:pPr>
      <w:r>
        <w:rPr>
          <w:sz w:val="20"/>
          <w:szCs w:val="20"/>
        </w:rPr>
        <w:t xml:space="preserve">Выявлены при сопоставлении полученного комплекта. Каждое — предмет отдельной проверки, не установленный факт.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0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Расхождение</w:t>
            </w:r>
          </w:p>
        </w:tc>
        <w:tc>
          <w:tcPr>
            <w:tcW w:type="dxa" w:w="6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Существо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Красная зона наступает раньше нарушения лимита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 всем восьми метрикам порог красной зоны выше уровня риск-аппетита: k1 — 9,0 % против лимита 8,5 %; k2 — 11,5 % против 11 %; ACARI — 14 % против 13 %; HLA — 25 % против 20 %; LCR и NSFR — 110 % против 105 %; ALRI — 90 % против 85 %. Диапазон между лимитом и красной зоной одновременно означает «риск-аппетит соблюдён» и «уровень высокий, требуются меры против ухудшения платёжеспособности». Возможное объяснение: зоны построены как лестница над лимитом, а сам лимит выполняет роль риск-ёмкости — но тогда терминология обоих документов вводит в заблуждение, и уровнем риск-аппетита фактически является граница зелёной зоны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Веса в Приложении № 1 не воспроизводят отчёт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В приложении вес каждого коэффициента указан как 0,33, сумма — 0,99. При таких весах ACARI = 0,33 × (20,10 + 20,10 + 27,60) = 22,37 %, а в отчёте 22,60 %. Отчётное значение получается ровно при весе 1/3: 67,80 / 3 = 22,60 %. По ALRI: при 0,33 получается 129,24 %, при 1/3 — 130,55 %, в отчёте 130,55 %. То есть расчёт ведётся не по формуле, записанной в ВНД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Пересчёт запаса ALRI в тенге лишён смысла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ALRI усредняет LCR, HLA и NSFR — показатели с разными знаменателями: нетто-отток 391 578, итого активы 2 900 746, требуемое стабильное фондирование 1 407 934. Единого знаменателя у среднего нет. Величина 713 628 млн ₸ в отчёте получается умножением запаса 45,55 пп на среднее арифметическое трёх знаменателей: (391 578 + 2 900 746 + 1 407 934) / 3 = 1 566 753, что совпадает с восстановленной базой. Для ACARI аналогичная операция корректна, поскольку у k1, k1-2 и k2 общий знаменатель — RWA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Р4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Стратегия подменила регулятора внутренними органами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18 Правил № 86 и п. 27 Политики предусматривают пересмотр уровней при изменении требований уполномоченного органа, то есть регулятора. Пункты 24 и 29 Стратегии в том же месте называют «требования СД, Правления и Комитета по рискам». В результате изменение регулирования перестало быть основанием для пересмотра — что согласуется с тем, что после вступления в силу № 85 и № 86 28.04.2026 пересмотра не было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Наименование органа расходится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и Методика — «Комитет по рискам и внутреннему контролю (КРВК)»; Стратегия — «Комитет по рискам»; Правила № 86 — «комитет по вопросам управления рисками». При актуализации привести к одному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Р6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Самооценка расходится с результатом проверки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 мониторинга Политики (Приложение № 2) оценивает требование о наличии инструментов контроля уровня риска как «G-Внедрено» с эффективностью «Работает эффективно». При необеспеченном ежегодном пересмотре и отсутствии зон по 17 метрикам оценка не подтверждается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Р7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Периметр сегмента расходится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и её таблица № 2 оперируют сегментом «Корпоративный бизнес / Приват Банкинг»; отчёт об уровнях риск-аппетита — только «Корпоративный бизнес». Требуется подтверждение, что топ-20, знаменатель СК и CoR считаются на периметре Политики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Р8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Политика требует того, чего не существует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12-1 Политики: СД рассматривает информацию о достижении пороговых значений и нарушении лимитов. Пороговые значения установлены только по восьми метрикам капитала и ликвидности; по кредитному риску, рынку, операционному и комплаенс-риску их нет, и рассматривать нечего</w:t>
            </w:r>
          </w:p>
        </w:tc>
      </w:tr>
    </w:tbl>
    <w:p>
      <w:pPr>
        <w:pStyle w:val="Heading1"/>
        <w:spacing w:after="160" w:before="320"/>
      </w:pPr>
      <w:r>
        <w:t xml:space="preserve">8. Что закрылось этой партией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5400"/>
      </w:tblGrid>
      <w:tr>
        <w:trPr>
          <w:tblHeader/>
        </w:trPr>
        <w:tc>
          <w:tcPr>
            <w:tcW w:type="dxa" w:w="1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3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Была</w:t>
            </w:r>
          </w:p>
        </w:tc>
        <w:tc>
          <w:tcPr>
            <w:tcW w:type="dxa" w:w="5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Г3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Формулы ACARI и ALRI не восстанавливаются; неясно, отношения это или композитные индексы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Закрыта. Оба — простые средние трёх показателей с равными весами. Приложение № 1 к Методике. Расхождения по весам и по пересчёту в тенге вынесены в Р2 и Р3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Г6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Метрика уровня отсечения бинарна, зону построить не из чего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Переоценена. Бинарна отчётная форма, а не шкала: мастер-шкала градуирована 1–50 и содержит границу 13/14. Опережающий индикатор строится на существующих данных без новой калибровки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Г12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Буфер между риск-аппетитом и ёмкостью равен 0,5 пп либо отрицателен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Уточнена. С учётом зон Приложения № 2 фактическая управленческая лестница шире: по k1 от зелёной границы 10,5 % до регуляторного значения 8 % — 2,5 пп. Развилка по системной значимости сохраняется: при статусе системно значимого банка регуляторное значение k1 составляет 9,5 %, и тогда красная зона 9,0 % и лимит 8,5 % оба лежат ниже него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Г5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Неясно, что считается в «уровне ожидаемой стоимости риска» и почему значение отрицательное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Продвинута. П. 15 Политики: показатель определяется с учётом общих бюджетных показателей по финансированию — то есть это бюджетная, а не риск-калиброванная величина, что согласуется с поведением метрики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Г2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Метрика топ-20 измеряет не концентрацию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Продвинута. П. 14 Политики формулирует намерение именно как ограничение концентрации. Расхождение между намерением и измерением подтверждается на уровне документа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Источник «ежегодно»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 найден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Найден: Стратегия п. 24 и п. 19</w:t>
            </w:r>
          </w:p>
        </w:tc>
      </w:tr>
    </w:tbl>
    <w:p>
      <w:pPr>
        <w:pStyle w:val="Heading1"/>
        <w:spacing w:after="160" w:before="320"/>
      </w:pPr>
      <w:r>
        <w:t xml:space="preserve">9. Запрос на недостающее</w:t>
      </w:r>
    </w:p>
    <w:p>
      <w:pPr>
        <w:spacing w:after="120" w:line="264"/>
      </w:pPr>
      <w:r>
        <w:rPr>
          <w:sz w:val="20"/>
          <w:szCs w:val="20"/>
        </w:rPr>
        <w:t xml:space="preserve">По убыванию критичности. Первые три блокируют мероприятие 1 плана.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Приложение № 3 к Политике — структурированный перечень существенных рисков с уровнями риск-аппетита. Без него нельзя ни проверить действующие уровни, ни предложить их изменение.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Приложение № 4 к Политике — мастер-шкала целиком, с наименованиями полос и правилом соответствия рейтинга клиента и рейтинга сделки уровню отсечения.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ВНД по ВПОДК и ВПОДЛ — наличие внутреннего целевого уровня капитала выше регуляторного.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Методика расчёта провизий по МСФО (внутренняя) — определение внутреннего кредитного рейтинга и ожидаемых потерь.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Форма отчёта № 50 и Инструкция по формированию управленческой отчётности.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Протоколы СД, которыми утверждались действующие уровни и триггеры, — для восстановления обоснования.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Актуальный результат стресс-тестирования в разрезе метрик риск-аппетита и дата его последнего обновления. По SIPOC сценарии обновляются раз в год; если сценарий старше отчётной даты, это ограничение для аналитической записки.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Правила установления и пересмотра лимитов по рыночным рискам и риску ликвидности; Политика управления капиталом; Политика по управлению риском ликвидности; политики по рыночным и операционным рискам.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Подтверждение статуса системной значимости Банка — закрывает развилку Г12.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Все сведения о содержании документов получены из текстов, предоставленных 17.08.2026. Реквизиты, редакции и статусы актуальности подлежат сверке перед использованием во внешних материалах. Расхождения Р1–Р8 сформулированы как наблюдения, требующие проверки у владельцев документов, а не как установленные нарушения.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2026-08-17T13:10:03.903Z</dcterms:created>
  <dcterms:modified xsi:type="dcterms:W3CDTF">2026-08-17T13:10:03.916Z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