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РИСК-АППЕТИТ БАНКА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Постановка задачи, статус-кво де-факто на 01.07.2026, находки по действующему отчёту и проекция целевого состояния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Рабочий документ v2.0 — сводный. Для обсуждения, не для утверждения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Официальное замечание СВА (высокий уровень) и утверждённый план мероприятий; задачи, поставленные Дамиром устно; «Отчёт об уровнях риск-аппетита» на 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Нормативная база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(СУР и ВК), от 28.04.2026 № 85 (пруденциальные нормативы), от 29.09.2025 № 61 (провизии); пост. Правления НБ РК от 25.08.2025 № 52 (макропруденциальные нормативы) — тексты прочитаны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17.08.2026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Контрольные сроки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30.09.2026 — аналитическая записка и предложения; 31.12.2026 — вынос на УО; далее ежегодно — статус-отчёт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мер риска по 7 видам существенного риска: кредитный (КБ, МСБ, РБ), рыночный, операционный, комплаенс, капитала, ликвидности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Оговорка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Главы 5–6 построены по данным отчёта без доступа к первичным расчётам и определениям метрик. Каждая находка сформулирована как гипотеза к проверке, а не как установленный факт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изменилось против v1.0. Получен официальный текст замечания и плана мероприятий — добавлена глава 3. Получены и прочитаны действующие нормативные акты: № 86 заменил пост. № 188 от 12.11.2019, № 85 заменило пост. № 170 от 13.09.2017 — ссылки в главе 9 переписаны по действующим документам, чтение из плана работ исключено как выполненное. Гипотеза Г12 закрыта числами и разделена: получены точные регуляторные минимумы. Добавлены Г14–Г16. Ключевое: п. 18 Правил № 86 прямо устанавливает три уровня риск-аппетита, а Таблица 2 приложения к Структуре отчёта по ВПОДК содержит для второго из них отдельную графу — «предлимит» из постановки задачи имеет нормативное имя и готовую форму отчётности. План работ пересобран под 30.09.2026.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Резюме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Официальное замечание сформулировано иначе, чем устная постановка: «не обеспечен ежегодный пересмотр уровней риск-аппетита по кредитному риску», уровень высокий. Оно закрывается аналитической запиской об актуальности действующих уровней до 30.09.2026 и выпиской УО по предложениям до 31.12.2026. Предлимиты, три зоны и меры реагирования в тексте замечания не фигурируют — они закрывают другое: п. 18 Правил № 86 и графу 6 Таблицы 2 формы отчётности по ВПОДК. Отсюда первое практическое следствие: работа делится на два трека, и трек закрытия замечания имеет жёсткий срок в шесть недель.</w:t>
      </w:r>
    </w:p>
    <w:p>
      <w:pPr>
        <w:spacing w:after="120" w:line="264"/>
      </w:pPr>
      <w:r>
        <w:rPr>
          <w:sz w:val="20"/>
          <w:szCs w:val="20"/>
        </w:rPr>
        <w:t xml:space="preserve">Второе следствие — из прочитанных нормативных актов. Три зоны не нужно придумывать: п. 18 Правил № 86 прямо устанавливает три предела уровня рисков — не требующий мер, определённый как допустимый, определённый как высокий. Второй из них имеет отдельную графу в обязательной форме отчётности по ВПОДК, вместе с графами «количество случаев достижения» и «общая длительность дней». Примечание к форме: если допустимый уровень не установлен, эти графы не заполняются. То есть отсутствие предлимитов у нас видно регулятору прямо в форме, а задача 2 из устной постановки — «официальная инструкция расчёта» — есть дословно п. 17 Правил, то есть невыполненное требование, а не пожелание.</w:t>
      </w:r>
    </w:p>
    <w:p>
      <w:pPr>
        <w:spacing w:after="120" w:line="264"/>
      </w:pPr>
      <w:r>
        <w:rPr>
          <w:sz w:val="20"/>
          <w:szCs w:val="20"/>
        </w:rPr>
        <w:t xml:space="preserve">Разбор отчёта об уровнях риск-аппетита на 01.07.2026 дал три результата, которые определяют содержание записки.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Один лимит риск-аппетита нарушен: коэффициент отношения топ-20 крупных заёмщиков к собственному капиталу — 101,50 % при лимите не более 95 %, превышение 6,50 пп или 28 771 млн ₸. При этом в одном отчёте на одну дату присутствуют три разных значения капитала (442 346, 550 245 и восстановленное из ACARI ~450 189 млн ₸), и при подстановке 550 245 метрика составляет 81,6 % — лимит соблюдён. То есть факт нарушения определяется выбором знаменателя, а сам выбор в отчёте не задокументирован.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Из 25 установленных лимитов реальную контрольную функцию несут шесть. Девятнадцать либо недостижимы в обозримом горизонте (утилизация ниже 31 %), либо структурно не могут быть нарушены — бинарные метрики, метрики с нулевым фактом, метрики, недостижимые при соблюдении парного лимита. Предлимит поверх такой конструкции — второй этаж контроля над первым, которого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Третье, и это срочнее остального.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Сверка с Нормативами № 85 показала: значения достаточности капитала с учётом консервационного и системного буферов составляют k1 8 %, k1-2 9 %, k2 10,5 % для банков и k1 9,5 %, k1-2 10,5 %, k2 12 % для системно значимых. Наши лимиты риск-аппетита — 8,5 %, 9,5 % и 11 %. Для несистемно значимого банка буфер равен ровно 0,5 пп по всем трём коэффициентам, что выглядит как механическая надбавка, а не расчёт. Для системно значимого банка все три лимита оказываются ниже регуляторного значения на 1 пп — то есть соблюдение лимита риск-аппетита не будет означать соблюдения норматива. Статус системной значимости надо установить в первую очередь. Отдельно: минимум по LCR и NSFR составляет 0,9 сейчас и 1,0 с 01.01.2028, при нашем лимите 105 % — запас сократится с 15 до 5 пп без единого действия банка (Г14).</w:t>
      </w:r>
    </w:p>
    <w:p>
      <w:pPr>
        <w:spacing w:after="120" w:line="264"/>
      </w:pPr>
      <w:r>
        <w:rPr>
          <w:sz w:val="20"/>
          <w:szCs w:val="20"/>
        </w:rPr>
        <w:t xml:space="preserve">Предлагаемая организация работы (глава 13). Трек А закрывает замечание: запросы по Г1 и Г12 на первой неделе, затем три обязательных раздела записки — риск-профиль, структура и качество портфеля, стресс-тестирование — и свод с выводом по каждому из 14 кредитных лимитов к 26.09. Трек Б выполняет устные задачи: карта соответствия Правилам № 86, паспорта метрик, классификация лимитов, допустимые уровни с backtest, меры реагирования. Что успевает к 30.09 — входит в записку, остальное уходит в предложения на УО к 31.12.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трека А — стресс-тестирование: замечание называет его результаты обязательным входом анализа. Если актуального стресс-теста в разрезе метрик риск-аппетита нет, записка не закроет требование в полном объёме, и это надо выяснить на первой неделе, а не в сентябре.</w:t>
      </w:r>
    </w:p>
    <w:p>
      <w:pPr>
        <w:spacing w:after="120" w:line="264"/>
      </w:pPr>
      <w:r>
        <w:rPr>
          <w:sz w:val="20"/>
          <w:szCs w:val="20"/>
        </w:rPr>
        <w:t xml:space="preserve">Отдельный вывод, который стоит доложить независимо от задачи: формулировка «пересчитываем на автомате» подтверждается наблюдаемыми дефектами самого отчёта — #ЗНАЧ! в двух строках, три значения капитала, непроверяемые формулы двух итоговых показателей, непоследовательный расчёт столбца «Запас». Регламент контроля отчёта перед выносом на уполномоченный орган — возможно, более прямой ответ на замечание, чем сами зоны.</w:t>
      </w:r>
    </w:p>
    <w:p>
      <w:pPr>
        <w:pStyle w:val="Heading1"/>
        <w:spacing w:after="160" w:before="320"/>
      </w:pPr>
      <w:r>
        <w:t xml:space="preserve">2. Постановка задачи от Дамира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конспект без правок содержания — только разбивка на блоки. Всё, что дальше главы 2, — надстройка поверх этой базы.</w:t>
      </w:r>
    </w:p>
    <w:p>
      <w:pPr>
        <w:pStyle w:val="Heading2"/>
        <w:spacing w:after="120" w:before="240"/>
      </w:pPr>
      <w:r>
        <w:t xml:space="preserve">2.1. Что нужно понять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Что такое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Какие ДОУ и кто отвечает, как Улдана консолидирует и как выносится на УО.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Улдана собирает все риск-аппетиты, 90 % занимает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Внутри риск-аппетита есть меры риска (кост оф риск, и т. д.).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 этого отталкиваясь, мы понимаем, какой риск-аппетит может позволить себе банк.</w:t>
      </w:r>
    </w:p>
    <w:p>
      <w:pPr>
        <w:pStyle w:val="Heading2"/>
        <w:spacing w:after="120" w:before="240"/>
      </w:pPr>
      <w:r>
        <w:t xml:space="preserve">2.2. Логика (рисунок на бумаге, Дамир объясняет)</w:t>
      </w:r>
    </w:p>
    <w:p>
      <w:pPr>
        <w:spacing w:after="120" w:line="264"/>
      </w:pPr>
      <w:r>
        <w:rPr>
          <w:sz w:val="20"/>
          <w:szCs w:val="20"/>
        </w:rPr>
        <w:t xml:space="preserve">Есть капитал банка → внутри есть убытки, которые покрываются капиталом → большинство убытков кредитные.</w:t>
      </w:r>
    </w:p>
    <w:p>
      <w:pPr>
        <w:pStyle w:val="Heading2"/>
        <w:spacing w:after="120" w:before="240"/>
      </w:pPr>
      <w:r>
        <w:t xml:space="preserve">2.3. Меры риска и лимиты</w:t>
      </w:r>
    </w:p>
    <w:p>
      <w:pPr>
        <w:spacing w:after="120" w:line="264"/>
      </w:pPr>
      <w:r>
        <w:rPr>
          <w:sz w:val="20"/>
          <w:szCs w:val="20"/>
        </w:rPr>
        <w:t xml:space="preserve">CoR по КБ и МСБ, Top-20 по КБ и МСБ, EL по РБ, PD по РБ — по каждому есть лимит (3–6 %, 95 %, 10 %, 15 %) соответственно.</w:t>
      </w:r>
    </w:p>
    <w:p>
      <w:pPr>
        <w:pStyle w:val="Heading2"/>
        <w:spacing w:after="120" w:before="240"/>
      </w:pPr>
      <w:r>
        <w:t xml:space="preserve">2.4. Замечание СВА</w:t>
      </w:r>
    </w:p>
    <w:p>
      <w:pPr>
        <w:spacing w:after="120" w:line="264"/>
      </w:pPr>
      <w:r>
        <w:rPr>
          <w:sz w:val="20"/>
          <w:szCs w:val="20"/>
        </w:rPr>
        <w:t xml:space="preserve">Регулятор, то есть СВА, говорит, что у нас есть лимиты, но нет предлимита. И каждый раз, когда мы пересчитываем — на пофиг, на автомате. Надо установить 3 зоны по предлимиту: зелёный, жёлтый и красный.</w:t>
      </w:r>
    </w:p>
    <w:p>
      <w:pPr>
        <w:pStyle w:val="Heading2"/>
        <w:spacing w:after="120" w:before="240"/>
      </w:pPr>
      <w:r>
        <w:t xml:space="preserve">2.5. Что от нас хочет Дамир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Изучить все ВНД касательно риск-аппетита (методика, правила, политика).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Официальная инструкция по тому, как мы считаем сам показатель сейчас, во-первых, и лимит по нему.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Придумать предлимиты.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Не прописаны меры реагирования для каждой из зон предлимита по сценарию.</w:t>
      </w:r>
    </w:p>
    <w:p>
      <w:pPr>
        <w:pStyle w:val="Heading2"/>
        <w:spacing w:after="120" w:before="240"/>
      </w:pPr>
      <w:r>
        <w:t xml:space="preserve">2.6. Контекст и ограничения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 пороге пара ивентов: стресс-тест и MRM (надо будет оцифровать модельный риск и ставить риск-аппетит), и рейтинговые модели.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Правильный путь — интегрировать всё, чтобы сходилось с ожидаемыми ивентами.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ознакомиться с ВНД, документы ЕЦБ, прудики, постановления.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Расчёт каждый квартал. Переутверждение каждый год.</w:t>
      </w:r>
    </w:p>
    <w:p>
      <w:pPr>
        <w:pStyle w:val="Heading2"/>
        <w:spacing w:after="120" w:before="240"/>
      </w:pPr>
      <w:r>
        <w:t xml:space="preserve">2.7. Открытые вопросы от Дамира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Для КБ и МСБ есть ещё меры риска — надо узнать, какие это.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Когда будем знакомиться с материалами, надо узнать, какие меры риска должно быть минимум.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погрузиться в тему риск-аппетита.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Оба вопроса из 2.7 адресуются главами 4 и 9: требования к составу и к самим уровням установлены п. 15–18 Правил № 86, полный фактический состав по КБ и МСБ виден в главе 5 — помимо CoR и Top-20 там есть метрики кредитоспособности по внутреннему рейтингу с уровнем отсечения 33, которых в конспекте не было.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Официальное замечание и план мероприятий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официальную формулировку. Она отличается от устной постановки главы 2, и это различие определяет, что именно и к какому сроку закрывает работу.</w:t>
      </w:r>
    </w:p>
    <w:p>
      <w:pPr>
        <w:pStyle w:val="Heading2"/>
        <w:spacing w:after="120" w:before="240"/>
      </w:pPr>
      <w:r>
        <w:t xml:space="preserve">3.1. Замечание в исходной формулировке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Замечание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обеспечен ежегодный пересмотр уровней риск-аппетита по кредитному риску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Рекомендации руководству БРМ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 Поручить ответственным работникам подготовить и вынести на рассмотрение уполномоченных органов Банка предложения по актуализации уровней риск-аппетита по кредитному риску с учётом текущего риск-профиля Банка, структуры кредитного портфеля и результатов стресс-тестирования. 2. В целях обеспечения своевременного мониторинга / пересмотра уровней риск-аппетита (при необходимости) в будущем — выносить данный вопрос в рамках регулярной управленческой отчётности (по итогам последнего месяца/квартала за соответствующий год)</w:t>
            </w:r>
          </w:p>
        </w:tc>
      </w:tr>
    </w:tbl>
    <w:p>
      <w:pPr>
        <w:spacing w:after="12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700"/>
        <w:gridCol w:w="2200"/>
        <w:gridCol w:w="18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Мероприятие БРМ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Ответственные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Провести анализ актуальности действующих уровней риск-аппетита по кредитному риску с учётом текущего риск-профиля Банка, структуры и качества кредитного портфеля, динамики показателей кредитного риска и результатов стресс-тестирования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по результатам оценки актуальности действующих уровней риск-аппетита по кредитному риску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результатам анализа подготовить предложения по сохранению либо актуализации уровней риск-аппетита по кредитному риску и вынести их на рассмотрение УО Банка в установленном порядке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Материалы, представленные на рассмотрение УО Банка / выписка УО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Предоставление на ежегодной основе руководству БРМ статус-отчёта о пересмотре уровней риск-аппетита в течение года / за год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ежегодно, по итогам последнего месяца за предыдущий год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/ статус-отчёт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</w:tbl>
    <w:p>
      <w:pPr>
        <w:pStyle w:val="Heading2"/>
        <w:spacing w:after="120" w:before="240"/>
      </w:pPr>
      <w:r>
        <w:t xml:space="preserve">3.2. Что из этого следует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Замечание не про предлимиты.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Формально оно закрывается двумя артефактами: аналитической запиской об актуальности действующих уровней по кредитному риску (до 30.09.2026) и выпиской УО по рассмотренным предложениям (до 31.12.2026). Предлимиты и меры реагирования, поставленные устно, в тексте замечания не фигурируют. Риск, который надо снять сразу: выполнить работу по предлимитам и не закрыть само замечание. Поэтому в плане главы 13 разведены два трека — закрытие замечания и методологическая надстройка.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Периметр замечания — только кредитный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КБ, МСБ и РБ: топ-20, уровень ожидаемой стоимости риска, кредитоспособность по внутреннему рейтингу, EL и PD — 14 метрик из 25. Метрики капитала, ликвидности, рынка, операционного и комплаенс-риска в замечание не входят, хотя находки по ним есть (Г3, Г7, Г12). Их можно вынести отдельно либо приложением, но срок 30.09.2026 они не связывают.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Три обязательных входа в анализ названы прямо: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текущий риск-профиль Банка, структура и качество кредитного портфеля, результаты стресс-тестирования. Записка без раздела по стресс-тестированию замечание не закроет. Это же снимает вопрос последовательности из главы 8.4: стресс-тест не «предстоящий ивент, с которым надо интегрироваться», а обязательный вход в работу, срок которой — 30.09.2026.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2 предполагает развилку: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«предложения по сохранению либо актуализации». То есть допустимый результат анализа — вывод, что уровни остаются прежними, при условии что этот вывод обоснован. Это снимает ложную обязанность менять числа ради самого факта пересмотра, но повышает требования к обоснованию.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3 — процессное.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закрывается не разово, а регламентом: вопрос о пересмотре уровней должен появиться в регулярной управленческой отчётности. Практически это означает добавление в квартальный отчёт по риск-аппетиту раздела «статус пересмотра уровней», а в годовом цикле — чек-листа. Проектировать его нужно вместе с регламентом контроля качества отчёта (задача 5), потому что это один и тот же отчёт.</w:t>
      </w:r>
    </w:p>
    <w:p>
      <w:pPr>
        <w:pStyle w:val="Heading2"/>
        <w:spacing w:after="120" w:before="240"/>
      </w:pPr>
      <w:r>
        <w:t xml:space="preserve">3.3. Откуда берётся требование «ежегодно»</w:t>
      </w:r>
    </w:p>
    <w:p>
      <w:pPr>
        <w:spacing w:after="120" w:line="264"/>
      </w:pPr>
      <w:r>
        <w:rPr>
          <w:sz w:val="20"/>
          <w:szCs w:val="20"/>
        </w:rPr>
        <w:t xml:space="preserve">В Правилах № 86 слова «ежегодный пересмотр уровней риск-аппетита» нет. Пункт 16 подпункт 6 требует, чтобы уровни «регулярно пересматривались на актуальность»; пункт 18 в последней части устанавливает, что агрегированные уровни «устанавливаются и пересматриваются на периодической основе», а уровни по отдельным видам риска «пересматриваются в течение года при изменении ситуации на рынке и (или) изменении требований уполномоченного органа, но в рамках агрегированного уровня риск-аппетита».</w:t>
      </w:r>
    </w:p>
    <w:p>
      <w:pPr>
        <w:spacing w:after="120" w:line="264"/>
      </w:pPr>
      <w:r>
        <w:rPr>
          <w:sz w:val="20"/>
          <w:szCs w:val="20"/>
        </w:rPr>
        <w:t xml:space="preserve">Годовая периодичность выводится из двух мест: пункт 12 подпункт 1 привязывает стратегию риск-аппетита к стратегическому и бюджетному планированию, а пункт 10 устанавливает, что бюджет банка утверждается советом директоров ежегодно. Плюс, вероятно, прямая норма во внутренних документах Банка.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Практический вывод: в аналитической записке нужно указать конкретный пункт внутреннего документа, устанавливающий ежегодность, а не ссылаться на № 86 — там этой нормы буквально нет. Найти этот пункт — первое действие по задаче 1. Если во внутренних документах ежегодность тоже не закреплена, то замечание указывает ещё и на пробел в ВНД, и тогда в предложениях на УО должен появиться пункт о его закрытии.</w:t>
      </w:r>
    </w:p>
    <w:p>
      <w:pPr>
        <w:pStyle w:val="Heading2"/>
        <w:spacing w:after="120" w:before="240"/>
      </w:pPr>
      <w:r>
        <w:t xml:space="preserve">3.4. Исполнители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7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Ответственные по плану мероприятий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Загребельный П. В.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Исполнение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Мирас; Ерлан (замещает Айдара в текущей задаче и координирует с ним)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 отчёта по РА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Қабылтаева Ұ. Е.</w:t>
            </w:r>
          </w:p>
        </w:tc>
      </w:tr>
    </w:tbl>
    <w:p>
      <w:pPr>
        <w:pStyle w:val="Heading1"/>
        <w:spacing w:after="160" w:before="320"/>
      </w:pPr>
      <w:r>
        <w:t xml:space="preserve">4. Понятийная рамка и процесс</w:t>
      </w:r>
    </w:p>
    <w:p>
      <w:pPr>
        <w:spacing w:after="120" w:line="264"/>
      </w:pPr>
      <w:r>
        <w:rPr>
          <w:sz w:val="20"/>
          <w:szCs w:val="20"/>
        </w:rPr>
        <w:t xml:space="preserve">Раздел нужен не для полноты, а потому что на него опираются находки Г12 (буфер между аппетитом и ёмкостью) и Г6 (что вообще можно зонировать).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8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соотносится с нашим отчётом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 (risk capacity)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Максимум риска, который банк способен абсорбировать без нарушения пруденциальных нормативов. Задаётся капиталом, ликвидностью и значениями по Нормативам № 85 с учётом буферов и надзорных надбавок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Явно нигде не зафиксирована; по метрикам капитала и ликвидности, вероятно, совпадает с лимитом РА (Г12)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Часть ёмкости, которую банк сознательно готов принять. Строго меньше ёмкости; разница — буфер, расходуемый в стрессе, а не в базовом сценарии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 через 25 лимитов; буфер до ёмкости не задокументирован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Заявление РА (RAS)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Документ, утверждаемый советом директоров: качественные утверждения + количественные показатели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Проверить, что утверждает совет директоров, а не орган ниже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Каскадирование риск-аппетита до сегментов, продуктов, контрагентов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Присутствует по РБ (субпортфели, продукты), слабее по КБ и МСБ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Риск-профиль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Фактический уровень риска на дату — то, что пересчитывается ежеквартально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Столбец «Факт» отчёта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Уровень, определённый как допустимый («предлимит», сигнальное значение)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Порог внутри лимита, достижение которого требует отдельных корректирующих мер. Прямо предусмотрен п. 18 пп. 2 Правил № 86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Отсутствует — предмет задачи 4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Регуляторная опора: пост. Правления АРРФР от 28.04.2026 № 86, п. 2 пп. 42 — заявление риск-аппетита есть утверждаемый советом директоров банка документ, описывающий агрегированный уровень существенных рисков (лимиты допустимого размера риска), который банк готов принять либо намерен исключить при реализации стратегии; содержит заявление качественного характера, а также количественного характера, включая показатели в отношении доходности, капитала, ликвидности, рисков, иных применимых показателей.</w:t>
      </w:r>
    </w:p>
    <w:p>
      <w:pPr>
        <w:spacing w:after="120" w:line="264"/>
      </w:pPr>
      <w:r>
        <w:rPr>
          <w:sz w:val="20"/>
          <w:szCs w:val="20"/>
        </w:rPr>
        <w:t xml:space="preserve">Отчёт покрывает капитал, ликвидность и риски. Показателей доходности в нём нет, хотя определение их называет прямо, а п. 16 пп. 2 требует, чтобы уровни риск-аппетита учитывали доходность (см. Г16).</w:t>
      </w:r>
    </w:p>
    <w:p>
      <w:pPr>
        <w:pStyle w:val="Heading2"/>
        <w:spacing w:after="120" w:before="240"/>
      </w:pPr>
      <w:r>
        <w:t xml:space="preserve">4.1. Три уровня риска по п. 18 Правил № 86</w:t>
      </w:r>
    </w:p>
    <w:p>
      <w:pPr>
        <w:spacing w:after="120" w:line="264"/>
      </w:pPr>
      <w:r>
        <w:rPr>
          <w:sz w:val="20"/>
          <w:szCs w:val="20"/>
        </w:rPr>
        <w:t xml:space="preserve">Важно для постановки задачи: три зоны — не наша конструкция и не изобретение, а норма. Пункт 18 Правил № 86 устанавливает, что уровни риск-аппетита включают следующие пределы уровня рисков: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1) уровень, не требующий применения корректирующих мер;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2) уровень, определённый как допустимый, но требующий отдельных корректирующих мер в действующих процедурах системы управления рисками с целью снижения уровня риска;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3) уровень, определённый как высокий, требующий применения соответствующих мер с целью недопущения ухудшения финансовой устойчивости банка и его платёжеспособности.</w:t>
      </w:r>
    </w:p>
    <w:p>
      <w:pPr>
        <w:spacing w:after="120" w:line="264"/>
      </w:pPr>
      <w:r>
        <w:rPr>
          <w:sz w:val="20"/>
          <w:szCs w:val="20"/>
        </w:rPr>
        <w:t xml:space="preserve">Это ровно зелёная, жёлтая и красная зоны из постановки Дамира. Практических следствий три.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Первое: терминология.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 внутренних документах правильнее писать «уровень, определённый как допустимый», а не «предлимит» — тогда наш документ дословно ложится на норму и на форму отчётности. Слово «предлимит» можно оставить как рабочее.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Второе: форма отчётности уже существует.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Таблица 2 приложения к Структуре отчёта по соблюдению ВПОДК и ВПОДЛ («Сведения о лимитах по уровням риск-аппетита») содержит графу 6 — «Установленный уровень, определённый как допустимый на отчётную дату», графу 9 — количество случаев его достижения в отчётном периоде, графу 10 — общая длительность дней достижения, графу 11 — причины. Примечание к таблице: «в случае, если уровень, определённый как допустимый, не установлен, графы 6, 9 и 10 не заполняются». То есть отсутствие предлимитов у нас видно прямо в регуляторной отчётности как три пустые графы.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Третье: не только пороги, но и меры.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Формулировки п. 18 требуют для второго уровня «отдельных корректирующих мер в действующих процедурах», для третьего — «соответствующих мер с целью недопущения ухудшения финансовой устойчивости». Это нормативное основание задачи 5 (меры реагирования), и оно же задаёт разный характер мер: на жёлтом — донастройка процедур, на красном — защита устойчивости.</w:t>
      </w:r>
    </w:p>
    <w:p>
      <w:pPr>
        <w:spacing w:after="120" w:line="264"/>
      </w:pPr>
      <w:r>
        <w:rPr>
          <w:sz w:val="20"/>
          <w:szCs w:val="20"/>
        </w:rPr>
        <w:t xml:space="preserve">Дополнительно п. 34 пп. 6 Правил № 86 относит к функциям подразделения по управлению рисками «разработку систем раннего предупреждения и триггеров, направленных на выявление нарушений уровней риск-аппетита». Это отдельное от п. 18 требование и прямая обязанность БРМ.</w:t>
      </w:r>
    </w:p>
    <w:p>
      <w:pPr>
        <w:pStyle w:val="Heading2"/>
        <w:spacing w:after="120" w:before="240"/>
      </w:pPr>
      <w:r>
        <w:t xml:space="preserve">4.2. Требования к самим уровням (п. 15–17 Правил № 86)</w:t>
      </w:r>
    </w:p>
    <w:p>
      <w:pPr>
        <w:spacing w:after="120" w:line="264"/>
      </w:pPr>
      <w:r>
        <w:rPr>
          <w:sz w:val="20"/>
          <w:szCs w:val="20"/>
        </w:rPr>
        <w:t xml:space="preserve">Пункт 15 требует, чтобы применяемые уровни риск-аппетита имели чёткое определение, были релевантными, измеримыми, рассчитывались на периодичной основе, доводились до совета директоров и комитета по вопросам управления рисками, и были разработаны с учётом прогностического подхода.</w:t>
      </w:r>
    </w:p>
    <w:p>
      <w:pPr>
        <w:spacing w:after="120" w:line="264"/>
      </w:pPr>
      <w:r>
        <w:rPr>
          <w:sz w:val="20"/>
          <w:szCs w:val="20"/>
        </w:rPr>
        <w:t xml:space="preserve">Пункт 16 требует, чтобы уровни: устанавливались так, чтобы способствовать соблюдению агрегированного уровня; учитывали имеющиеся капитал, ликвидность, доходность, стратегию развития; учитывали все существенные риски концентрации (на клиента, на валюту, страновой, на сегменты рынка и иные); основывались не только на лучших практиках и требованиях регулятора, но и на присущих банку существенных рисках; были однозначны; регулярно пересматривались на актуальность; учитывали обоснованные допущения, подкреплённые результатами стресс-тестирования.</w:t>
      </w:r>
    </w:p>
    <w:p>
      <w:pPr>
        <w:spacing w:after="120" w:line="264"/>
      </w:pPr>
      <w:r>
        <w:rPr>
          <w:sz w:val="20"/>
          <w:szCs w:val="20"/>
        </w:rPr>
        <w:t xml:space="preserve">Пункт 17 требует наличия процедуры определения уровней, содержащей: внутренний порядок расчёта и определения параметров; информацию, материалы, методы и инструментарий; ответственных лиц и подразделения, в том числе за контроль и мониторинг; условия, при которых вносится корректировка в утверждённые уровни. Количественные методы должны обеспечивать высокую степень надёжности оценки.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 2 в постановке Дамира — «официальная инструкция, как считается показатель и как обоснован лимит» — это дословно пункт 17. То есть она не пожелание руководителя, а невыполненное требование Правил, и в аналитической записке её стоит квалифицировать именно так.</w:t>
      </w:r>
    </w:p>
    <w:p>
      <w:pPr>
        <w:pStyle w:val="Heading2"/>
        <w:spacing w:after="120" w:before="240"/>
      </w:pPr>
      <w:r>
        <w:t xml:space="preserve">4.1. Процесс в его нынешнем виде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Звено</w:t>
            </w:r>
          </w:p>
        </w:tc>
        <w:tc>
          <w:tcPr>
            <w:tcW w:type="dxa" w:w="7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устроено сейчас (со слов и по отчёту)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Риск-аппетиты собираются по видам риска у владельцев; кредитный риск занимает основную долю конструкции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Улдана — сводит все виды риска в единый «Отчёт об уровнях риск-аппетита»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Вынос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Уполномоченный орган. Точный орган и форма выноса подлежат уточнению (задача 1)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— ежеквартально. Переутверждение уровней — ежегодно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Реакция на нарушение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Формализованной процедуры не обнаружено. Проверочный кейс — действующее нарушение по топ-20 (глава 7, Г1)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в этой цепочке отсутствует: правило контроля качества расчёта перед выносом, правило реакции на нарушение, правило пересчёта при смене модели или методики. Первое и второе относятся к замечанию СВА напрямую.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Отчёт департамента: полная выгрузка на 01.07.2026</w:t>
      </w:r>
    </w:p>
    <w:p>
      <w:pPr>
        <w:spacing w:after="120" w:line="264"/>
      </w:pPr>
      <w:r>
        <w:rPr>
          <w:sz w:val="20"/>
          <w:szCs w:val="20"/>
        </w:rPr>
        <w:t xml:space="preserve">Глава воспроизводит первичный источник целиком — «Уровни риск-аппетита по каждому виду существенного риска и агрегированные уровни риск-аппетита на 01.07.2026». Все последующие выводы (главы 5 и 6) сделаны только по этим числам; ничего, кроме них, у нас пока нет. Промежуточные величины (собственный капитал, RWA, активы, нетто-отток и др.) приведены в тех же строках, где они стоят в отчёте, — они понадобятся для проверки восстановленных баз.</w:t>
      </w:r>
    </w:p>
    <w:p>
      <w:pPr>
        <w:pStyle w:val="Heading2"/>
        <w:spacing w:after="120" w:before="240"/>
      </w:pPr>
      <w:r>
        <w:t xml:space="preserve">5.1. Кредитный риск — корпоративный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отношения топ-20 крупных заёмщиков к размеру СК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−6,50 %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−28 771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Сумма топ-20 крупных заёмщиков,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449 000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33*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(КБ):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445 063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8 337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454 093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33*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5.2. Кредитный риск — малый и средний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3,5 %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3,24 %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(МСБ):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90 202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1 357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27 695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1 116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119 254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5.3. Кредитный риск — розничный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1400"/>
        <w:gridCol w:w="1500"/>
        <w:gridCol w:w="1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Разрез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ожидаемых потерь (EL)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Общий портфель РБ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6,24 %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5,36 %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вероятности дефолта (PD)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4,04 %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денежные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3,95 %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товарные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4,41 %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1,99 %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Прочие кредитные продукты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14 %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10,35 %</w:t>
            </w:r>
          </w:p>
        </w:tc>
      </w:tr>
    </w:tbl>
    <w:p>
      <w:pPr>
        <w:pStyle w:val="Heading2"/>
        <w:spacing w:after="120" w:before="240"/>
      </w:pPr>
      <w:r>
        <w:t xml:space="preserve">5.4. Рыночный 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Сумма значений недиверсифицированного VaR по отдельным категориям рыночных рисков (валютный и процентный)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0,72 % / 3 959 млн ₸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VaR (валютный и процентный),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1 544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5.5. Операционный риск и комплаенс-риск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операционных 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2 000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комплаенс-рисков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60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60,00</w:t>
            </w:r>
          </w:p>
        </w:tc>
      </w:tr>
    </w:tbl>
    <w:p>
      <w:pPr>
        <w:pStyle w:val="Heading2"/>
        <w:spacing w:after="120" w:before="240"/>
      </w:pPr>
      <w:r>
        <w:t xml:space="preserve">5.6. Риск капитала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капитала (ACARI)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191 231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Основной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k1-2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Капитал первого уровня,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330 670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RWA, млн ₸ (единый для k1, k1-2, k2, 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1 991 987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5.7. Риск ликвидности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ликвидности (ALRI)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713 628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Высоколиквидные активы / итого активы (HLA)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487 042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1 067 191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Итого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2 900 746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покрытия ликвидности (LCR)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382 085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Высококачественные 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793 241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Нетто-отток денежных средств,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391 578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нетто стабильного фондирования (NSFR)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665 654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Доступное стабильное фондирование,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2 143 984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Требуемые активы и условные обязательства стабильного фондирования,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1 407 934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Уровень отсечения 33 — это займы с рейтингом клиента 9/10 и/или рейтингом сделки V (кроме рейтинга 1V).</w:t>
      </w:r>
    </w:p>
    <w:p>
      <w:pPr>
        <w:pStyle w:val="Heading2"/>
        <w:spacing w:after="120" w:before="240"/>
      </w:pPr>
      <w:r>
        <w:t xml:space="preserve">5.8. Проверка баз пересчёта запаса в млн ₸</w:t>
      </w:r>
    </w:p>
    <w:p>
      <w:pPr>
        <w:spacing w:after="120" w:line="264"/>
      </w:pPr>
      <w:r>
        <w:rPr>
          <w:sz w:val="20"/>
          <w:szCs w:val="20"/>
        </w:rPr>
        <w:t xml:space="preserve">Проверка сделана обратным счётом: запас в процентных пунктах умножен на предполагаемую базу и сопоставлен с запасом в млн ₸ из отчёта. Она нужна, чтобы отделить метрики, где отчёт внутренне непротиворечив, от метрик, где база не восстанавливается (это и есть источник Г3).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100"/>
        <w:gridCol w:w="1500"/>
        <w:gridCol w:w="15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Предполагаемая база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 отчёте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442 346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6,50 % → 28 752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28 771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VaR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550 245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0,72 % → 3 962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3 959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9,60 % → 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16,60 % → 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активы 2 900 746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16,79 % → 487 035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487 042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Нетто-отток 391 578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97,58 % → 382 100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382 085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Требуемое фондирование 1 407 934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47,28 % → 665 671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665 654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идентифицирована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обратный счёт даёт базу 1 566 691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713 628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сходится (Г3)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Расхождения в пределах 7–20 млн ₸ объясняются округлением процентов до двух знаков и не являются находкой. База ALRI 1 566 691 млн ₸ не совпадает ни с одной величиной отчёта: ни с активами (2 900 746), ни с RWA (1 991 987), ни с требуемым фондированием (1 407 934), ни с нетто-оттоком.</w:t>
      </w:r>
    </w:p>
    <w:p>
      <w:pPr>
        <w:pStyle w:val="Heading2"/>
        <w:spacing w:after="120" w:before="240"/>
      </w:pPr>
      <w:r>
        <w:t xml:space="preserve">5.9. Что видно в выгрузке сразу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Единственное нарушение в отчёте — топ-20 / СК, и оно возникает в единственной строке, где знаменателем взят капитал 442 346, а не 550 245.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Собственный капитал в отчёте принимает три значения: 442 346 (кредитный риск), 550 245 (рыночный риск и k2), 400 264 (основной капитал и капитал 1 уровня); четвёртое, ~450 189, восстанавливается из ACARI.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k1 = k1-2 = 20,10 % — добавочного капитала у банка нет; при этом в обеих строках запас не посчитан (#ЗНАЧ!), хотя считается вычитанием.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Столбец «Запас» заполняется непоследовательно: по CoR КБ стоит 3 % вместо 3,35 %, по операционному риску — 2 000 вместо 1 999,5 (Г13).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Топ-20 (449 000) практически равен всему рейтингуемому портфелю КБ (454 093) — 98,9 %.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МСБ без рейтинга 721 заёмщик из 1 116 (64,6 % клиентов) на 27 695 млн ₸ (23,2 % портфеля); по КБ — 3 заёмщика на 693 млн ₸ (0,15 %).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Статус-кво де-факто на 01.07.2026</w:t>
      </w:r>
    </w:p>
    <w:p>
      <w:pPr>
        <w:pStyle w:val="Heading2"/>
        <w:spacing w:after="120" w:before="240"/>
      </w:pPr>
      <w:r>
        <w:t xml:space="preserve">6.1. Что фактически есть и чего нет</w:t>
      </w:r>
    </w:p>
    <w:p>
      <w:pPr>
        <w:spacing w:after="60" w:line="264"/>
      </w:pPr>
      <w:r>
        <w:rPr>
          <w:b/>
          <w:bCs/>
          <w:sz w:val="20"/>
          <w:szCs w:val="20"/>
        </w:rPr>
        <w:t xml:space="preserve">Есть: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Отчёт об уровнях риск-аппетита из 25 мер риска по 7 видам существенного риска, с фактом, лимитом и запасом в процентных пунктах и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Ежеквартальный расчёт, годовое переутверждение, консолидация у Улданы, вынос на уполномоченный орган.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Покрытие всех основных видов риска — периметр заявления РА формально не сужен до кредитного: метрики по капиталу, ликвидности, рынку, операционному и комплаенс-риску присутствуют.</w:t>
      </w:r>
    </w:p>
    <w:p>
      <w:pPr>
        <w:spacing w:after="120"/>
      </w:pPr>
    </w:p>
    <w:p>
      <w:pPr>
        <w:spacing w:after="60" w:line="264"/>
      </w:pPr>
      <w:r>
        <w:rPr>
          <w:b/>
          <w:bCs/>
          <w:sz w:val="20"/>
          <w:szCs w:val="20"/>
        </w:rPr>
        <w:t xml:space="preserve">Нет: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Предлимитов, зон, мер реагирования, правил де-эскалации.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отчёте — определений знаменателей и периметров, обоснования уровней лимитов, указания источника данных и владельца по каждой метрике.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Правила, что происходит с лимитом при смене модели, витрины или методики.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доходности — при том, что п. 2 пп. 42 Правил № 86 называет их в составе заявления РА, а п. 16 пп. 2 требует учитывать доходность при установлении уровней (Г16).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концентрации внутри КБ, покрытия рейтингами, модельного риска.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Зафиксированной риск-ёмкости отдельно от риск-аппетита.</w:t>
      </w:r>
    </w:p>
    <w:p>
      <w:pPr>
        <w:pStyle w:val="Heading2"/>
        <w:spacing w:after="120" w:before="240"/>
      </w:pPr>
      <w:r>
        <w:t xml:space="preserve">6.2. Закрытые вопросы</w:t>
      </w:r>
    </w:p>
    <w:p>
      <w:pPr>
        <w:spacing w:after="120" w:line="264"/>
      </w:pPr>
      <w:r>
        <w:rPr>
          <w:sz w:val="20"/>
          <w:szCs w:val="20"/>
        </w:rPr>
        <w:t xml:space="preserve">Два вопроса, которые до получения отчёта были блокирующими, закрыты.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6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означает Top-20 = 95 % и к какой базе относится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Метрика: коэффициент отношения суммы топ-20 крупных заёмщиков к размеру собственного капитала. Лимит: не более 95 %. Факт на 01.07.2026: 101,50 % (топ-20 = 449 000 млн ₸; СК = 442 346 млн ₸). Лимит нарушен на 6,50 пп, что соответствует превышению 28 771 млн ₸. Направление: рост показателя — ухудшение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3–6 % — два лимита или коридор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разных лимита, и метрика называется иначе — «уровень ожидаемой стоимости риска». КБ: не более 3 % (факт −0,35 %). МСБ: не более 3,5 % (факт 0,26 %). Диапазон «3–6 %» в конспекте, по-видимому, объединял два разных лимита; значения 3 % и 3,5 % подтверждаются отчётом, 6 % в отчёте не встречается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Оба ответа порождают новые вопросы, вынесенные в главу 7 как Г1 (какой СК корректен), Г2 (что на самом деле измеряет топ-20/СК) и Г5 (лимит по CoR КБ при отрицательном факте).</w:t>
      </w:r>
    </w:p>
    <w:p>
      <w:pPr>
        <w:pStyle w:val="Heading2"/>
        <w:spacing w:after="120" w:before="240"/>
      </w:pPr>
      <w:r>
        <w:t xml:space="preserve">6.3. Утилизация лимитов «не более»</w:t>
      </w:r>
    </w:p>
    <w:p>
      <w:pPr>
        <w:spacing w:after="120" w:line="264"/>
      </w:pPr>
      <w:r>
        <w:rPr>
          <w:sz w:val="20"/>
          <w:szCs w:val="20"/>
        </w:rPr>
        <w:t xml:space="preserve">Утилизация рассчитана как факт / лимит. Столбец «Статус» — предварительная классификация; обоснование по каждой позиции — в главе 7.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200"/>
        <w:gridCol w:w="1200"/>
        <w:gridCol w:w="900"/>
        <w:gridCol w:w="20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2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крупных заёмщиков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— зона невозможна (Г6)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Мёртвая (Г5)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(Г6); покрытие рейтингами 76,8 % (Г8)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общий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Избыточна (Г9)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необеспеченный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Структурно неактивна (Г10)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прочий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денежные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товарные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прочие кредитные продукты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Рыночный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Недиверсифицированный VaR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28 %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Слабая; СК = 550 245 (Г1)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Операц.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 млн ₸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2 000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 (Г7)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60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Недостижим; нулевой факт (Г7)</w:t>
            </w:r>
          </w:p>
        </w:tc>
      </w:tr>
    </w:tbl>
    <w:p>
      <w:pPr>
        <w:pStyle w:val="Heading2"/>
        <w:spacing w:after="120" w:before="240"/>
      </w:pPr>
      <w:r>
        <w:t xml:space="preserve">6.4. Метрики с лимитом «не менее»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300"/>
        <w:gridCol w:w="1300"/>
        <w:gridCol w:w="1200"/>
        <w:gridCol w:w="14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Вид риска</w:t>
            </w:r>
          </w:p>
        </w:tc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пп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Формула числителя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 (основной капитал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лимит = минимум?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k1-2 (капитал 1 уровня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равен k1 — добавочного капитала нет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 (СК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= 550 245, RWA = 1 991 987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пересчёта в млн ₸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сходится: итого активы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</w:tbl>
    <w:p>
      <w:pPr>
        <w:pStyle w:val="Heading2"/>
        <w:spacing w:after="120" w:before="240"/>
      </w:pPr>
      <w:r>
        <w:t xml:space="preserve">6.5. Сводная классификация лимитов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800"/>
      </w:tblGrid>
      <w:tr>
        <w:trPr>
          <w:tblHeader/>
        </w:trPr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Класс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— предлимит имеет смысл (утилизация 70–80 %)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необеспеченный РБ; PD необеспеченные, денежные, товарные, обеспеченные РБ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— утилизация 25–31 %, срабатывание маловероятно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общий и прочий РБ; PD прочие РБ; VaR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Недостижимые — утилизация ниже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МСБ; операционный риск; комплаенс-риск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Мёртвые и структурно неактивные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 (отрицательный факт); EL обеспеченный РБ; две метрики уровня отсечения (бинарные)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 снизу с запасом от 9,6 до 97,6 пп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ACARI, k1, k1-2, k2, ALRI, HLA, LCR, NSFR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Ключевой вывод статус-кво: система риск-аппетита формально полна — все виды риска покрыты, лимиты установлены, расчёт регулярен, — но контрольная нагрузка сосредоточена в шести метриках из двадцати пяти, и одна из них уже нарушена. Задача про предлимиты, поставленная поверх этой картины, решает вторичную проблему.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Находки по отчёту: гипотезы к проверке</w:t>
      </w:r>
    </w:p>
    <w:p>
      <w:pPr>
        <w:spacing w:after="120" w:line="264"/>
      </w:pPr>
      <w:r>
        <w:rPr>
          <w:sz w:val="20"/>
          <w:szCs w:val="20"/>
        </w:rPr>
        <w:t xml:space="preserve">Каждая находка оформлена одинаково: наблюдение (что видно в данных) → основной вопрос, который она раскрывает → гипотезы → как проверить → последствие для задачи. Ни одна из них не является установленным фактом: доступа к первичным расчётам и определениям нет, и часть расхождений может объясняться методикой, которой в отчёте нет.</w:t>
      </w:r>
    </w:p>
    <w:p>
      <w:pPr>
        <w:pStyle w:val="Heading2"/>
        <w:spacing w:after="120" w:before="240"/>
      </w:pPr>
      <w:r>
        <w:t xml:space="preserve">Г1. В одном отчёте на одну дату три разных значения капитала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Собственный капитал в разделе кредитного риска — 442 346 млн ₸. В разделах рыночного риска и риска капитала — 550 245 млн ₸. Числитель ACARI, восстановленный из запаса (22,60 % × RWA 1 991 987), даёт третье значение около 450 189 млн ₸. Разброс между первым и вторым — 107 899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Какое определение капитала является знаменателем метрики топ-20, и обосновано ли оно? При СК = 550 245 отношение топ-20 составляет 81,6 %, лимит соблюдён с запасом 13,4 пп. То есть факт нарушения риск-аппетита полностью определяется выбором знаменателя, а сам выбор в отчёте не задокументирован.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Г1.a — 442 346 это СК по иному определению (например, по расчёту максимального размера риска на одного заёмщика по Нормативам № 85), и такое определение методологически обосновано;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Г1.b — 442 346 это значение предыдущей отчётной даты, не обновлённое при квартальном пересчёте. Гипотеза объясняет и величину разрыва, и то, что единственное нарушение в отчёте возникло именно в строке с «нестандартным» знаменателем;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Г1.c — 450 189 (числитель ACARI) это ещё одно определение, третье, и ни одно из трёх не описано в методике.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Улданы и у владельца расчёта: определение СК для каждой из трёх метрик, источник значения, дату среза. Сверить 442 346 с расчётом СК на 01.04.2026 — если совпадёт, подтверждается Г1.b.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Блокирующая. Пока не закрыта, невозможно ни утверждать нарушение, ни его опровергать. Если подтверждается Г1.b — нарушения нет, есть дефект расчёта, вынесенный на уполномоченный орган; это самостоятельное замечание, более серьёзное, чем отсутствие предлимитов.</w:t>
      </w:r>
    </w:p>
    <w:p>
      <w:pPr>
        <w:pStyle w:val="Heading2"/>
        <w:spacing w:after="120" w:before="240"/>
      </w:pPr>
      <w:r>
        <w:t xml:space="preserve">Г2. Метрика топ-20 / СК не измеряет концентрацию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Сумма топ-20 = 449 000 млн ₸. Весь рейтингуемый портфель КБ по отчёту = 445 063 + 8 337 + 693 = 454 093 млн ₸ по 75 заёмщикам. Топ-20 составляет 98,9 % корпоративного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метрика фактически ограничивает? При таком соотношении она измеряет «размер корпоративного портфеля / капитал», а не концентрацию: перераспределение экспозиции внутри топ-20 или переход от 20 заёмщиков к 5 показатель не изменит. Концентрация внутри КБ не ограничена ничем.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Г2.a — периметры двух таблиц не совпадают: топ-20 включает внебалансовые обязательства, группы связанных лиц или заёмщиков вне рейтингуемого портфеля, и тогда 98,9 % — артефакт сопоставления;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Г2.b — периметры совпадают, и метрика де-факто является ограничением роста корпоративного бизнеса относительно капитала. Тогда её название вводит в заблуждение всех, кроме автора расчёта;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Г2.c — концентрация как риск в РА не покрыта вовсе, несмотря на наличие метрики с соответствующим названием.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Сверить периметр расчёта топ-20 с периметром рейтинговой таблицы: балансовые и внебалансовые позиции, группы связанных заёмщиков, заёмщики без рейтинга. Рассчитать альтернативно: топ-20 / портфель КБ, топ-1 / СК, HHI по КБ. Сверить с максимальным размером риска на одного заёмщика по Нормативам № 85 (k3 = 0,25) и с совокупным лимитом по заёмщикам, риск по каждому из которых превышает 10 % СК (не более 5 × СК).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Г2.b/Г2.c — в набор метрик нужно добавить настоящие меры концентрации, а действующую переименовать. Предлимит к метрике с неверным названием создаёт риск неправильных управленческих решений: реакцией на «нарушение концентрации» будет диверсификация, тогда как реально требуется либо рост капитала, либо ограничение портфеля.</w:t>
      </w:r>
    </w:p>
    <w:p>
      <w:pPr>
        <w:pStyle w:val="Heading2"/>
        <w:spacing w:after="120" w:before="240"/>
      </w:pPr>
      <w:r>
        <w:t xml:space="preserve">Г3. Формулы агрегированных показателей ACARI и ALRI не восстанавливаются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всем частным метрикам база пересчёта запаса в млн ₸ сходится (глава 5.8): ACARI и k2 — от RWA, HLA — от итого активов, LCR — от нетто-оттока, NSFR — от требуемого стабильного фондирования. Для ALRI база, восстановленная из запаса (713 628 / 45,55 пп), даёт 1 566 691 млн ₸ — величина, не совпадающая ни с одним показателем отчёта. Значение ACARI 22,60 % не равно ни k1 (20,10 %), ни k2 (27,60 %).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представляют собой ACARI и ALRI — отношения или композитные индексы? От ответа зависит, корректен ли перевод запаса в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Г3.a — это композитные индексы (взвешенные свёртки частных показателей). Тогда пересчёт запаса в тенге методологически некорректен: у индекса нет денежной базы, и цифры 191 231 и 713 628 млн ₸ не имеют экономического смысла;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Г3.b — это отношения с собственными числителями и знаменателями, не приведёнными в отчёте. Тогда отчёт неполон: два итоговых показателя по двум видам риска непроверяемы читателем.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формулу ACARI и ALRI. Если это свёртки — запросить веса и обоснование весов.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Затрагивает именно те две метрики, которые выносятся как итоговая оценка по риску капитала и риску ликвидности. Предлимит по непроверяемой метрике поставить нельзя: неизвестно, что означает приближение к порогу.</w:t>
      </w:r>
    </w:p>
    <w:p>
      <w:pPr>
        <w:pStyle w:val="Heading2"/>
        <w:spacing w:after="120" w:before="240"/>
      </w:pPr>
      <w:r>
        <w:t xml:space="preserve">Г4. В отчёте, идущем на уполномоченный орган, есть ошибки Excel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Строки k1 и k1-2: в столбцах «Запас, %» и «Запас, млн» — #ЗНАЧ!. При этом обе величины считаются тривиально: 20,10 − 8,5 = 11,60 пп и 20,10 − 9,5 = 10,60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Проходит ли отчёт какой-либо контроль качества перед выносом на уполномоченный орган?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Г4.a — формула запаса ссылается на пустую или текстовую ячейку; ошибка механическая и не влияет на существо;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Г4.b — процедуры проверки отчёта перед выносом не существует, и это тот же дефект, который СВА описала как «пересчитываем на автомате», только в наблюдаемой форме.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посмотреть формулу. Проверить, воспроизводится ли #ЗНАЧ! в отчётах за предыдущие кварталы — если да, ошибка живёт несколько циклов и никем не замечена.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Лучшее эмпирическое подтверждение замечания СВА — сильнее любой аргументации. Использовать при обосновании необходимости регламента контроля отчёта, а не только предлимитов.</w:t>
      </w:r>
    </w:p>
    <w:p>
      <w:pPr>
        <w:pStyle w:val="Heading2"/>
        <w:spacing w:after="120" w:before="240"/>
      </w:pPr>
      <w:r>
        <w:t xml:space="preserve">Г5. Лимит по стоимости риска КБ не может сработать никогда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Уровень ожидаемой стоимости риска по КБ: факт −0,35 % при лимите не более 3 %. Односторонний лимит сверху на метрику, ушедшую в отрицательную зону.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именно считается в этой метрике? Отрицательный EL невозможен по определению; отрицательный CoR возможен при чистом роспуске провизий.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Г5.a — метрика фактически считает CoR (расход на провизии к портфелю), и отрицательное значение отражает чистый роспуск за период. Тогда название «ожидаемая стоимость риска» не соответствует расчёту;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Г5.b — метрика считает ожидаемые потери, и отрицательное значение — ошибка знака или методики;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Г5.c — отрицательное значение корректно и устойчиво (портфель КБ в фазе восстановления). Тогда лимит сверху 3 % бессмыслен: до него больше трёх процентных пунктов, и односторонний контроль не работает. Уместнее двусторонний коридор либо метрика по новым выдачам.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метрику на составляющие за 8 кварталов. Проверить, устойчиво ли отрицательное значение или это разовый эффект. Сверить формулу с определением ожидаемых кредитных убытков в Методике расчёта провизий и в пост. № 61.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Смешение метрики P&amp;L (CoR) и метрики ожидаемых убытков (EL) здесь наблюдаемо в данных, а не выведено логически. По этой метрике предлимит не устанавливать до пересмотра самой метрики.</w:t>
      </w:r>
    </w:p>
    <w:p>
      <w:pPr>
        <w:pStyle w:val="Heading2"/>
        <w:spacing w:after="120" w:before="240"/>
      </w:pPr>
      <w:r>
        <w:t xml:space="preserve">Г6. Две метрики бинарны — зону построить не из чего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«Выданные займы при уровне отсечения выше 33» по КБ и по МСБ: факт 0 при целевом 0.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Возможен ли предлимит для бинарного показателя? Между 0 и 1 промежуточного состояния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Г6.a — метрика по своей природе не поддерживает зонирование, и требование СВА к ней неприменимо; нужен другой опережающий индикатор;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Г6.b — метрика измеряет соблюдение процедуры, а не уровень риска, и её место — в системе внутреннего контроля, а не в заявлении риск-аппетита.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Определить, что реально хотели контролировать: соблюдение процедуры отсечения или качество притока. Для второго опережающие индикаторы: доля портфеля в неприемлемой рейтинговой зоне (КБ: 8 337 / 454 093 = 1,8 %; МСБ: 1 357 / 119 254 = 1,1 %), миграция рейтингов вниз, доля исключений и override при выдаче.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методике предлимитов нужен явный класс «метрики, не поддерживающие зонирование», с указанием заменяющего индикатора. Иначе по этим двум строкам появится формальная зона, которая не сработает никогда.</w:t>
      </w:r>
    </w:p>
    <w:p>
      <w:pPr>
        <w:pStyle w:val="Heading2"/>
        <w:spacing w:after="120" w:before="240"/>
      </w:pPr>
      <w:r>
        <w:t xml:space="preserve">Г7. Операционный и комплаенс-риск: факты близки к нулю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Операционный риск: предполагаемый убыток 0,5 млн ₸ при лимите 2 000 млн ₸ — утилизация 0,03 %. Комплаенс-риск: ровно 0 при лимите 60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означает ноль — отсутствие риска или отсутствие регистрации событий?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Г7.a — события собираются, за квартал их действительно не было. Для комплаенс-риска в банке такого масштаба это маловероятно;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Г7.b — база событий операционного и комплаенс-риска неполна, и метрика характеризует полноту сбора данных, а не уровень риска. Тогда предлимит к ней бессмыслен, а лимит 2 000 млн ₸ при факте 0,5 млн — не ограничение, а декларация;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Г7.c — метрика построена на прогнозной оценке («предполагаемый убыток»), а не на фактических событиях, и тогда её нужно валидировать как модель.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владельцев число зарегистрированных событий операционного и комплаенс-риска за 4–8 кварталов и методику расчёта «предполагаемого убытка». Сопоставить с числом операционных инцидентов по данным ИТ и с числом реализованных комплаенс-событий.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 ответа на этот вопрос ставить предлимит нельзя. Правильный первый шаг — метрика полноты регистрации событий, а не зона на метрике с нулевым фактом.</w:t>
      </w:r>
    </w:p>
    <w:p>
      <w:pPr>
        <w:pStyle w:val="Heading2"/>
        <w:spacing w:after="120" w:before="240"/>
      </w:pPr>
      <w:r>
        <w:t xml:space="preserve">Г8. Четверть портфеля МСБ без внутреннего рейтинга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МСБ: без рейтинга 721 заёмщик на 27 695 млн ₸. Всего в рейтинговой таблице МСБ 1 116 заёмщиков на 119 254 млн ₸. Значит без рейтинга — 23,2 % портфеля по остатку и 64,6 % по числу заёмщиков. Для сравнения, по КБ без рейтинга 3 заёмщика на 693 млн ₸, то есть 0,15 %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Можно ли считать соблюдённым лимит по кредитоспособности МСБ, если метрика не покрывает четверть портфеля?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Г8.a — заёмщики без рейтинга это новые выдачи, рейтинг присваивается с задержкой, и разрыв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Г8.b — по части сегмента МСБ рейтинговая модель не применяется вовсе (мелкие суммы, скоринговые продукты), и это осознанное методологическое решение, не отражённое в отчёте;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Г8.c — покрытие рейтингами де-факто не контролируется, и соблюдение лимита по уровню отсечения доказано только на 76,8 %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721 заёмщика по дате выдачи, продукту и сумме. Проверить, есть ли в Методике исключения из рейтингования и совпадают ли они с фактической картиной. Сверить с требованиями пост. № 61 к рейтинговым моделям.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 в новую метрику риск-аппетита: доля портфеля с действующим внутренним рейтингом. Прямо стыкуется с предстоящим внедрением рейтинговых моделей и с требованиями пост. № 61 к моделям и их независимой валидации.</w:t>
      </w:r>
    </w:p>
    <w:p>
      <w:pPr>
        <w:pStyle w:val="Heading2"/>
        <w:spacing w:after="120" w:before="240"/>
      </w:pPr>
      <w:r>
        <w:t xml:space="preserve">Г9. Агрегированная метрика EL по РБ маскирует необеспеченный портфель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EL по общему портфелю РБ: 2,76 % при лимите 9 % — утилизация 31 %. По необеспеченному портфелю: 7,57 % при лимите 10 % — утилизация 76 %. Агрегат низкий, потому что в нём доминирует обеспеченный портфель с EL 1,64 %.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Несёт ли агрегированный лимит самостоятельную контрольную функцию?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Г9.a — агрегат сработает только после того, как сработает субпортфельный лимит по необеспеченному, то есть является избыточным дублированием;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Г9.b — агрегат имеет смысл как ограничение на изменение структуры портфеля (рост доли необеспеченного), но тогда правильнее контролировать саму структуру напрямую.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на исторических данных: был ли хоть один квартал, когда агрегированный лимит был бы нарушен раньше субпортфельного.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Г9.a — агрегированный лимит по EL РБ выводится из активного контроля, а вместо него в РА добавляется метрика доли необеспеченного портфеля. Иначе система лимитов создаёт видимость двойного контроля при фактически одном.</w:t>
      </w:r>
    </w:p>
    <w:p>
      <w:pPr>
        <w:pStyle w:val="Heading2"/>
        <w:spacing w:after="120" w:before="240"/>
      </w:pPr>
      <w:r>
        <w:t xml:space="preserve">Г10. Пара PD и EL по обеспеченному портфелю РБ несогласована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Обеспеченный портфель РБ: PD = 5,01 % при лимите 7 %; EL = 1,64 % при лимите 7 %. Отношение EL/PD = 0,327. При PD, равном своему лимиту 7 %, и неизменном отношении EL составит около 2,29 % — втрое ниже лимита EL 7 %. Для сравнения, по необеспеченному портфелю отношение EL/PD = 0,691, и при PD на лимите 15 % EL составил бы 10,36 % против лимита 10 %.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Согласованы ли парные лимиты PD и EL между собой? По обеспеченному портфелю лимит EL 7 % не может быть нарушен, пока соблюдается лимит PD 7 %. По необеспеченному и прочему портфелям лимиты почти совпадают по моменту срабатывания, то есть одна из двух метрик избыточна.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Г10.a — лимиты PD и EL устанавливались независимо и в разное время, без проверки на взаимную согласованность через LGD;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Г10.b — лимит EL по обеспеченному портфелю рассчитан на стрессовый LGD (обвал стоимости залогов), и тогда он согласован, но это допущение нигде не зафиксировано;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Г10.c — по необеспеченному портфелю совпадение моментов срабатывания намеренно, и парные метрики служат кросс-проверкой, а не двумя лимитами.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Рассчитать implied LGD по каждому субпортфелю (EL / PD / EAD) и проверить, при каком LGD пара лимитов становится согласованной. Расчёт опирается на допущение неизменности LGD и структуры — его надо проверить отдельно.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влияет на выбор метрик для предлимитов: по обеспеченному портфелю строить зону нужно по PD, по необеспеченному достаточно одной из двух. Иначе три предлимита из пяти «активных» будут дублировать друг друга.</w:t>
      </w:r>
    </w:p>
    <w:p>
      <w:pPr>
        <w:pStyle w:val="Heading2"/>
        <w:spacing w:after="120" w:before="240"/>
      </w:pPr>
      <w:r>
        <w:t xml:space="preserve">Г11. Единый лимит PD 15 % на три разных продукта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PD необеспеченные — 10,96 %, необеспеченные денежные — 11,05 %, необеспеченные товарные — 10,59 %. Лимит по всем трём: не более 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Откалиброван ли лимит под продукт? Денежные и товарные кредиты имеют разную экономику, разные каналы и разный профиль потерь, а лимит один. При этом агрегат по необеспеченным (10,96 %) находится между двумя своими составляющими, то есть является их взвешенным средним и не несёт отдельной информации.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Г11.a — лимит установлен на уровне сегмента и механически распространён на продукты, без продуктовой калибровки;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Г11.b — продуктовые PD исторически близки, и единый лимит эмпирически обоснован. Проверяемо на данных;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Г11.c — из трёх метрик информативны две (денежные и товарные), агрегат избыточен.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Сопоставить исторические ряды PD по денежным и товарным кредитам за 8–12 кварталов: если они расходятся более чем на 1–2 пп, единый лимит не обоснован.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Вместе с Г9 и Г10 определяет реальное число независимых кредитных метрик РБ. Предварительно из девяти метрик РБ независимых — три-четыре.</w:t>
      </w:r>
    </w:p>
    <w:p>
      <w:pPr>
        <w:pStyle w:val="Heading2"/>
        <w:spacing w:after="120" w:before="240"/>
      </w:pPr>
      <w:r>
        <w:t xml:space="preserve">Г12. Буфер между риск-аппетитом и риск-ёмкостью по капиталу составляет 0,5 пп — либо отрицателен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Сверено с Нормативами № 85 (§ 9.3). Значения достаточности капитала с учётом консервационного и системного буферов: k1 — 8 % для всех банков и 9,5 % для системно значимых; k1-2 — 9 % и 10,5 %; k2 — 10,5 % и 12 %. Наши лимиты РА: k1 ≥ 8,5 %, k1-2 ≥ 9,5 %, k2 ≥ 11 %. Для банка, не отнесённого к системно значимым, буфер составляет ровно 0,5 пп по всем трём коэффициентам. Для системно значимого банка все три лимита РА оказываются НИЖЕ регуляторного значения на 1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Отнесён ли Банк к системно значимым, и если да — как лимит риск-аппетита может быть ниже регуляторного требования? Развилка меняет характер находки: в первом случае это слабая калибровка, во втором — лимит, соблюдение которого не гарантирует соблюдения норматива.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Г12.a — Банк не является системно значимым; буфер равен 0,5 пп по всем трём коэффициентам. Одинаковость величины указывает на механическое «плюс полпроцента», а не на расчёт: три коэффициента имеют разную чувствительность к стрессу и вряд ли дают одинаковый требуемый буфер;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Г12.b — Банк является системно значимым, и лимиты РА не были обновлены после изменения статуса либо после вступления в силу № 85 (28.04.2026). Тогда метрика может показывать соблюдение лимита РА при нарушении пруденциального норматива;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Г12.c — буфер задан не уровнем лимита, а отдельным внутренним целевым уровнем капитала в документе по ВПОДК, не отражённым в отчёте по риск-аппетиту.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Установить статус системной значимости Банка. Сверить дату утверждения действующих лимитов РА с датой введения № 85. Проверить наличие внутреннего целевого уровня капитала в документе по ВПОДК. Отдельно: лимиты РА не учитывают контрциклический буфер (0–3 % по № 52), секторальный контрциклический буфер (0–6 %), буфер по результатам надзорного стресс-тестирования и надзорные надбавки SREP (0–3 %) либо SREP и регулярного AQR (0–6 %) — последние три устанавливаются ежегодно, и при их ненулевом значении запас 0,5 пп исчезает.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Самая содержательная находка по существу риск-аппетита. При Г12.a задача по восьми метрикам — не предлимиты, а обоснование внутреннего буфера результатами стресс-теста. При Г12.b это самостоятельное срочное замечание, более серьёзное, чем предмет проверки СВА. В обоих случаях ежегодная переустановка надзорных надбавок и буфера по стресс-тесту означает, что лимиты РА по капиталу обязаны пересматриваться ежегодно вслед за ними — что само по себе обосновывает мероприятие 3 плана.</w:t>
      </w:r>
    </w:p>
    <w:p>
      <w:pPr>
        <w:pStyle w:val="Heading2"/>
        <w:spacing w:after="120" w:before="240"/>
      </w:pPr>
      <w:r>
        <w:t xml:space="preserve">Г14. Запас по LCR и NSFR сократится втрое с 01.01.2028 без единого действия банка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№ 85 минимальное значение LCR и NSFR для банка с универсальной лицензией установлено в размере 0,9 в период с 01.01.2026 по 31.12.2027 и 1,0 с 01.01.2028. Наши лимиты РА: LCR ≥ 105 %, NSFR ≥ 105 %. То есть сейчас буфер над регуляторным минимумом составляет 15 пп, а с 01.01.2028 сократится до 5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Учитывает ли действующая калибровка лимитов по ликвидности известное заранее ужесточение норматива? Изменение не гипотетическое и не зависит от рынка — дата и величина заданы нормативно.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Г14.a — лимиты 105 % устанавливались под минимум 100 % и после изменения нормы не пересматривались; совпадение «минимум + 5 пп» относится к прежней редакции;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Г14.b — лимиты установлены осознанно с прицелом на 2028 год, и текущий запас в 15 пп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Г14.c — фактические значения (LCR 202,58 %, NSFR 152,28 %) настолько далеки от обоих порогов, что вопрос не имеет практического значения в горизонте планирования.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дату утверждения действующих лимитов и редакцию норматива, действовавшую на тот момент. Проверить, есть ли в ВНД правило автоматического пересмотра лимита РА при изменении норматива.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Прямой и легко закрываемый пункт для мероприятия 2: даже если по кредитному риску предложения сведутся к сохранению уровней, по ликвидности есть очевидное основание для актуализации. Отсутствие правила «изменение норматива влечёт пересмотр лимита» — самостоятельный пробел в процедуре (п. 17 пп. 4 Правил № 86 требует описывать условия корректировки утверждённых уровней).</w:t>
      </w:r>
    </w:p>
    <w:p>
      <w:pPr>
        <w:pStyle w:val="Heading2"/>
        <w:spacing w:after="120" w:before="240"/>
      </w:pPr>
      <w:r>
        <w:t xml:space="preserve">Г15. Концентрация требуется нормой, но в наборе метрик её нет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16 подпункт 3 Правил № 86 требует, чтобы уровни риск-аппетита учитывали все существенные риски концентрации: на клиента, на валюту, страновой риск, на сегменты рынка и иные виды концентрации. В отчёте присутствует одна метрика с названием про концентрацию — топ-20 / СК, — и, по Г2, она измеряет размер портфеля относительно капитала, а не концентрацию. Метрик валютной, страновой и сегментной концентрации в отчёте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Покрыт ли риск концентрации в заявлении риск-аппетита в объёме, который требует п. 16 пп. 3?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Г15.a — концентрация контролируется вне заявления РА, отдельными лимитами (например, через k3 и внутренние лимиты на заёмщика), и вопрос сводится к отражению их в РА;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Г15.b — концентрация по валюте и по сегментам не контролируется вовсе;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Г15.c — валютная концентрация покрыта косвенно через VaR и лимиты ОВП, страновая — через отсутствие существенных зарубежных требований, и это можно обосновать как несущественность.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перечень действующих лимитов концентрации вне заявления РА. Рассчитать по кредитному портфелю: HHI, доля топ-1 и топ-10, распределение по отраслям, по валюте.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входит в периметр мероприятия 1: «структура кредитного портфеля» названа обязательным входом анализа, а концентрация — её ключевая характеристика. Кандидат в новые метрики РА по кредитному риску, причём с нормативным основанием, а не по нашему усмотрению.</w:t>
      </w:r>
    </w:p>
    <w:p>
      <w:pPr>
        <w:pStyle w:val="Heading2"/>
        <w:spacing w:after="120" w:before="240"/>
      </w:pPr>
      <w:r>
        <w:t xml:space="preserve">Г16. Показателей доходности нет, хотя норма называет их дважды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2 подпункт 42 Правил № 86 определяет заявление риск-аппетита как содержащее количественные утверждения, включая показатели в отношении доходности, капитала, ликвидности, рисков. Пункт 16 подпункт 2 требует, чтобы уровни риск-аппетита учитывали имеющиеся капитал, ликвидность, доходность, стратегию развития. В отчёте на 01.07.2026 показателей доходности нет ни одного.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Является ли отсутствие показателей доходности несоответствием требованиям, или они присутствуют в заявлении РА, но не выносятся в квартальный отчёт?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Г16.a — показатели доходности есть в заявлении РА (утверждаемом СД), но не входят в форму квартального отчёта; тогда дефект в форме отчёта, а не в заявлении;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Г16.b — показателей доходности нет и в заявлении; тогда это прямое несоответствие п. 2 пп. 42 и п. 16 пп. 2;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Г16.c — доходность контролируется в бюджетном процессе отдельно от РА, и связь между ними не задокументирована — при том что п. 12 требует учитывать стратегию РА при бюджетном планировании.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Получить действующее заявление риск-аппетита и сверить его состав с п. 2 пп. 42. Проверить, как связаны целевые показатели бюджета и уровни РА.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Г16.b — это несоответствие того же класса, что и предмет замечания СВА, и его лучше выявить самим в аналитической записке, чем получить следующей проверкой. Кроме того, без метрики доходности не работает базовая логика риск-аппетита: соотношение принимаемого риска и вознаграждения за него (п. 6 пп. 1 Правил № 86 — оптимальное соотношение между доходностью и уровнем принимаемых рисков).</w:t>
      </w:r>
    </w:p>
    <w:p>
      <w:pPr>
        <w:pStyle w:val="Heading2"/>
        <w:spacing w:after="120" w:before="240"/>
      </w:pPr>
      <w:r>
        <w:t xml:space="preserve">Г13. Столбец «Запас» считается непоследовательно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МСБ запас = 3,5 − 0,26 = 3,24 % — разница между лимитом и фактом. По КБ при факте −0,35 % и лимите 3 % запас показан как 3 %, а не 3,35 %. По операционному риску при факте 0,5 млн ₸ и лимите 2 000 млн ₸ запас показан как 2 000, а не 1 999,5. По комплаенс-риску запас 60,00 при факте 0 — формально верно, но неотличимо от той же ошибки.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какой формуле считается столбец «Запас» и одинакова ли она по строкам? Расхождение малое по величине, но оно означает, что в одном отчёте сосуществуют минимум две разные формулы одного столбца — либо часть значений проставлена руками.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Г13.a — формула отсекает отрицательный факт (МАКС(0; факт)) и округляет, то есть логика единая, но нигде не описана;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Г13.b — часть ячеек столбца заполнена вручную константами, и тогда столбец «Запас» не является расчётным полем;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Г13.c — по разным видам риска отчёт собирается из разных файлов от разных владельцев, и единой формулы нет по построению.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сравнить формулы столбца «Запас» по всем 25 строкам. Проверить, есть ли в отчёте ячейки-константы там, где ожидается формула.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 по себе дефект малозначим — он значим как второе, независимое от Г4, наблюдаемое подтверждение отсутствия контроля качества расчёта. Вместе с Г1, Г3 и Г4 образует достаточную доказательную базу для отдельной записки о регламенте проверки отчёта.</w:t>
      </w:r>
    </w:p>
    <w:p>
      <w:pPr>
        <w:pStyle w:val="Heading2"/>
        <w:spacing w:after="120" w:before="240"/>
      </w:pPr>
      <w:r>
        <w:t xml:space="preserve">Приоритет гипотез</w:t>
      </w:r>
    </w:p>
    <w:p>
      <w:pPr>
        <w:spacing w:after="120" w:line="264"/>
      </w:pPr>
      <w:r>
        <w:rPr>
          <w:sz w:val="20"/>
          <w:szCs w:val="20"/>
        </w:rPr>
        <w:t xml:space="preserve">Критичные — Г1 и Г12. Г1 определяет, есть ли нарушение вообще: при СК 550 245 лимит соблюдён. Г12 определяет, не оказались ли лимиты по капиталу ниже регуляторного требования — если Банк системно значим, это срочнее всего остального в документе. Обе закрываются запросом, а не расчётом, и обе должны уйти на следующей неделе.</w:t>
      </w:r>
    </w:p>
    <w:p>
      <w:pPr>
        <w:spacing w:after="120" w:line="264"/>
      </w:pPr>
      <w:r>
        <w:rPr>
          <w:sz w:val="20"/>
          <w:szCs w:val="20"/>
        </w:rPr>
        <w:t xml:space="preserve">Существенные для мероприятия 1 (срок 30.09.2026) — Г2, Г5, Г8, Г15: они все про кредитный риск и все входят в «структуру и качество кредитного портфеля», названные обязательным входом анализа. Г10 определяет, сколько независимых метрик РБ реально существует: с учётом Г9 и Г11 их три-четыре, а не девять — это прямо влияет на предложения по составу метрик.</w:t>
      </w:r>
    </w:p>
    <w:p>
      <w:pPr>
        <w:spacing w:after="120" w:line="264"/>
      </w:pPr>
      <w:r>
        <w:rPr>
          <w:sz w:val="20"/>
          <w:szCs w:val="20"/>
        </w:rPr>
        <w:t xml:space="preserve">Отдельный сюжет — качество расчёта: Г1, Г3, Г4, Г13. У него другой адресат, чем у методологии риск-аппетита, и он оформляется отдельной запиской (задача 6), а не разделом аналитической записки.</w:t>
      </w:r>
    </w:p>
    <w:p>
      <w:pPr>
        <w:spacing w:after="120" w:line="264"/>
      </w:pPr>
      <w:r>
        <w:rPr>
          <w:sz w:val="20"/>
          <w:szCs w:val="20"/>
        </w:rPr>
        <w:t xml:space="preserve">Г14 и Г16 закрываются быстро и дают готовые пункты в предложения на УО, даже если по кредитному риску вывод будет «сохранить уровни».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Контраргумент к постановке задачи</w:t>
      </w:r>
    </w:p>
    <w:p>
      <w:pPr>
        <w:spacing w:after="120" w:line="264"/>
      </w:pPr>
      <w:r>
        <w:rPr>
          <w:sz w:val="20"/>
          <w:szCs w:val="20"/>
        </w:rPr>
        <w:t xml:space="preserve">Раздел не отменяет задачу, а фиксирует, почему её нельзя выполнить в исходной последовательности.</w:t>
      </w:r>
    </w:p>
    <w:p>
      <w:pPr>
        <w:pStyle w:val="Heading3"/>
        <w:spacing w:after="100" w:before="200"/>
      </w:pPr>
      <w:r>
        <w:t xml:space="preserve">8.1. Предлимит поверх неработающего лимита не создаёт контроля</w:t>
      </w:r>
    </w:p>
    <w:p>
      <w:pPr>
        <w:spacing w:after="120" w:line="264"/>
      </w:pPr>
      <w:r>
        <w:rPr>
          <w:sz w:val="20"/>
          <w:szCs w:val="20"/>
        </w:rPr>
        <w:t xml:space="preserve">Из 25 лимитов активны 6, а 19 либо недостижимы, либо структурно не могут быть нарушены. Светофор на метрике с утилизацией 25 % — имитация контроля, и при следующей проверке это будет видно так же, как сейчас видно отсутствие предлимитов.</w:t>
      </w:r>
    </w:p>
    <w:p>
      <w:pPr>
        <w:pStyle w:val="Heading3"/>
        <w:spacing w:after="100" w:before="200"/>
      </w:pPr>
      <w:r>
        <w:t xml:space="preserve">8.2. Замечание СВА описывает дефект процесса, и дефект наблюдаем</w:t>
      </w:r>
    </w:p>
    <w:p>
      <w:pPr>
        <w:spacing w:after="120" w:line="264"/>
      </w:pPr>
      <w:r>
        <w:rPr>
          <w:sz w:val="20"/>
          <w:szCs w:val="20"/>
        </w:rPr>
        <w:t xml:space="preserve">Формулировка «пересчитываем на автомате» подтверждается напрямую: #ЗНАЧ! в двух строках отчёта, идущего на уполномоченный орган (Г4), три разных значения капитала в одном документе (Г1), непроверяемые формулы двух итоговых показателей (Г3), непоследовательный расчёт столбца «Запас» (Г13). Три цвета этого не лечат. Нужен регламент контроля отчёта перед выносом — и это, возможно, более прямой ответ на замечание, чем сами зоны.</w:t>
      </w:r>
    </w:p>
    <w:p>
      <w:pPr>
        <w:pStyle w:val="Heading3"/>
        <w:spacing w:after="100" w:before="200"/>
      </w:pPr>
      <w:r>
        <w:t xml:space="preserve">8.3. Зоны без последствий — декорация</w:t>
      </w:r>
    </w:p>
    <w:p>
      <w:pPr>
        <w:spacing w:after="120" w:line="264"/>
      </w:pPr>
      <w:r>
        <w:rPr>
          <w:sz w:val="20"/>
          <w:szCs w:val="20"/>
        </w:rPr>
        <w:t xml:space="preserve">Проверочный вопрос по действующему нарушению: топ-20 / СК = 101,50 % при лимите 95 %. Какое решение принято по этому нарушению, каким органом и в какой срок? Если ответа нет, то проблема не в отсутствии жёлтой зоны, а в отсутствии реакции на красную.</w:t>
      </w:r>
    </w:p>
    <w:p>
      <w:pPr>
        <w:pStyle w:val="Heading3"/>
        <w:spacing w:after="100" w:before="200"/>
      </w:pPr>
      <w:r>
        <w:t xml:space="preserve">8.4. Риск последовательности</w:t>
      </w:r>
    </w:p>
    <w:p>
      <w:pPr>
        <w:spacing w:after="120" w:line="264"/>
      </w:pPr>
      <w:r>
        <w:rPr>
          <w:sz w:val="20"/>
          <w:szCs w:val="20"/>
        </w:rPr>
        <w:t xml:space="preserve">Внедрение рейтинговых моделей изменит шкалу PD, а через неё EL — то есть затронет ровно те пять метрик, которые единственные являются активными. Калибровать по ним предлимиты на исторических данных без плана пересчёта ряда (backfill) — потерянная работа. Плюс Г8: покрытие рейтингами МСБ 76,8 %, и после внедрения новых моделей этот разрыв станет заметнее. Отдельно: смена правил провизирования с 01.01.2026 (пост. № 61 вместо № 269) может делать исторический ряд EL и PD несопоставимым через границу года — это проверяется при чтении обоих постановлений (задача Ч).</w:t>
      </w:r>
    </w:p>
    <w:p>
      <w:pPr>
        <w:pStyle w:val="Heading3"/>
        <w:spacing w:after="100" w:before="200"/>
      </w:pPr>
      <w:r>
        <w:t xml:space="preserve">8.5. Переформулировка задачи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Задача: восстановить и задокументировать цепочку «риск-ёмкость → риск-аппетит → лимит → предлимит → мера реагирования → контроль исполнения», зафиксировав каждое звено, которого фактически нет. По данным отчёта отсутствуют или не задокументированы: риск-ёмкость (Г12), обоснование лимитов, буфер между аппетитом и ёмкостью, предлимиты, меры реагирования, контроль качества расчёта (Г1, Г3, Г4, Г13). Предлимиты — одно звено из шести, и не первое по важности.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Нормативная база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Тексты получены и прочитаны 17.08.2026. Предыдущая версия документа опиралась на пост. Правления НБ РК от 12.11.2019 № 188 и от 13.09.2017 № 170 — оба утратили силу и заменены постановлениями АРРФР от 28.04.2026 № 86 и № 85 соответственно. Все ссылки ниже даны по действующим редакциям.</w:t>
      </w:r>
    </w:p>
    <w:p>
      <w:pPr>
        <w:pStyle w:val="Heading2"/>
        <w:spacing w:after="120" w:before="240"/>
      </w:pPr>
      <w:r>
        <w:t xml:space="preserve">9.1. Действующие акты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6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даёт для задачи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«Правила формирования системы управления рисками и внутреннего контроля для банков и филиалов банков-нерезидентов РК» (рег. № 38586)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ряд пунктов вводится с 01.06.2026, 01.01.2027 и 01.07.2027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Основной документ по риск-аппетиту. Глава 3 «Стратегия риск-аппетита» — п. 12–18. Определения — п. 2 пп. 41, 42. Функции подразделения по управлению рисками — п. 34. Полномочия СД и КУР. Отчётность о превышении уровней. ВПОДК и ВПОДЛ. Структура отчёта по соблюдению ВПОДК с Таблицей 2 по лимитам риск-аппетита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85 «Об утверждении пруденциальных нормативов и лимитов…» (рег. № 38587)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пп. 7) и 8) п. 98 и пп. 6) и 7) п. 104 — с 01.01.2027; п. 99 приостановлен до 31.12.2026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Задаёт риск-ёмкость: значения k1/k1-2/k2 с буферами, буферы капитала, надзорные надбавки, LCR и NSFR, максимальный размер риска на одного заёмщика (k3, k3-1), совокупный лимит по крупным заёмщикам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25.08.2025 № 52 «Об установлении макропруденциальных нормативов и лимитов…» (рег. № 36722, в ред. от 11.03.2026 № 18)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31.08.2025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капитала, секторальный контрциклический буфер, коэффициент долговой нагрузки заёмщика. Через буферы входит в риск-ёмкость по капиталу; через КДН — внешнее ограничение на розничный необеспеченный портфель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29.09.2025 № 61 «Правила создания провизий (резервов) по МСФО» (рег. № 36994)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Определение дефолта, PD, LGD, EAD, SICR, стадий; требования к внутренним рейтинговым моделям, их дискриминирующей способности и независимой валидации; пороговые значения LTV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22.12.2017 № 269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Утратило силу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работе не используется. Может понадобиться при оценке сопоставимости исторического ряда EL и PD через границу 01.01.2026 — см. § 10.4</w:t>
            </w:r>
          </w:p>
        </w:tc>
      </w:tr>
    </w:tbl>
    <w:p>
      <w:pPr>
        <w:pStyle w:val="Heading2"/>
        <w:spacing w:after="120" w:before="240"/>
      </w:pPr>
      <w:r>
        <w:t xml:space="preserve">9.2. Что взято из Правил № 86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42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4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 нас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2 пп. 41, 42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 — агрегированные уровни существенных рисков (лимиты допустимого размера риска). Заявление РА утверждается советом директоров, содержит качественные и количественные утверждения, включая показатели в отношении доходности, капитала, ликвидности, рисков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Количественная часть есть — 25 метрик. Показателей доходности нет (Г16). Качественная часть и орган утверждения подлежат проверке по ВНД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имеют чёткое определение, релевантны, измеримы, рассчитываются периодично, доводятся до СД и КУР, разработаны с учётом прогностического подхода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периодичен. «Чёткое определение» не выполняется по трём метрикам: знаменатель топ-20 (Г1), ACARI и ALRI (Г3). Прогностический подход в отчёте не выражен — только факт на дату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имеющиеся капитал, ликвидность, доходность, стратегию развития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Доходность в наборе метрик отсутствует (Г16)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все существенные риски концентрации: на клиента, на валюту, страновой, на сегменты рынка и иные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 с названием про концентрацию есть, но, по Г2, измеряет не концентрацию. Концентрация на валюту, страновая и по сегментам в отчёте отсутствует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регулярно пересматриваются на актуальность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Прямое основание замечания СВА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обоснованные допущения, подкреплённые результатами стресс-тестирования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Связь лимитов со стресс-тестом не задокументирована (Г12)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Процедура определения уровней содержит: внутренний порядок расчёта, инструментарий, ответственных лиц и подразделения, условия корректировки утверждённых уровней. Количественные методы обеспечивают высокую степень надёжности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Это дословно задача 2. Наличие такой процедуры проверяется в задаче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включают три предела: не требующий мер; определённый как допустимый (требует отдельных корректирующих мер); определённый как высокий (требует мер против ухудшения устойчивости)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и третий пределы не установлены — это и есть задача 4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 определении риск-аппетита банк проводит оценку приемлемости установленного риск-аппетита сейчас и в будущем посредством стресс-тестирования (сценарный анализ и анализ чувствительности)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Оценка приемлемости — обязательный раздел аналитической записки по мероприятию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Агрегированные уровни устанавливаются и пересматриваются периодически; уровни по отдельным видам риска пересматриваются в течение года при изменении рынка и (или) требований регулятора, но в рамках агрегированного уровня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для мероприятия 2: предложения по кредитному риску должны укладываться в агрегированный уровень, иначе пересматривать надо и его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34 пп. 5,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 по управлению рисками разрабатывает уровни РА и выносит их на КУР и СД, ведёт мониторинг соблюдения, а также разрабатывает системы раннего предупреждения и триггеры для выявления нарушений уровней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Прямая обязанность БРМ; триггеры отсутствуют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Структура отчёта по ВПОДК, Таблица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 РА указываются: значение лимита на предыдущую и отчётную дату; установленный уровень, определённый как допустимый; число случаев несоблюдения лимита и длительность в днях; число случаев достижения допустимого уровня и длительность; причины. Если допустимый уровень не установлен — графы 6, 9 и 10 не заполняются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графы формы у нас не заполняются. Для топ-20 потребуется заполнить графы 7 и 8 — число случаев и длительность нарушения</w:t>
            </w:r>
          </w:p>
        </w:tc>
      </w:tr>
    </w:tbl>
    <w:p>
      <w:pPr>
        <w:pStyle w:val="Heading2"/>
        <w:spacing w:after="120" w:before="240"/>
      </w:pPr>
      <w:r>
        <w:t xml:space="preserve">9.3. Что взято из Нормативов № 85 — риск-ёмкость</w:t>
      </w:r>
    </w:p>
    <w:p>
      <w:pPr>
        <w:spacing w:after="120" w:line="264"/>
      </w:pPr>
      <w:r>
        <w:rPr>
          <w:sz w:val="20"/>
          <w:szCs w:val="20"/>
        </w:rPr>
        <w:t xml:space="preserve">Ключевое для Г12. Значения коэффициентов достаточности капитала с учётом консервационного и системного буферов: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2100"/>
      </w:tblGrid>
      <w:tr>
        <w:trPr>
          <w:tblHeader/>
        </w:trPr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Коэффициент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всех банков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системно значимых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Наш лимит РА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основного капитала (k1)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капитала первого уровня (k1-2)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собственного капитала (k2)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12 %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Сверх этого № 85 предусматривает: консервационный буфер 2,5 % для всех банков и 3 % для системно значимых (выполняется на постоянной основе, уже учтён в значениях выше); контрциклический и секторальный контрциклический буферы по № 52; системный буфер для системно значимых банков; буфер по результатам надзорного стресс-тестирования, устанавливаемый ежегодно; надзорную надбавку по результатам SREP в диапазоне 0–3 % и надзорную надбавку по результатам SREP и регулярного AQR в диапазоне 0–6 %, устанавливаемые ежегодно.</w:t>
      </w:r>
    </w:p>
    <w:p>
      <w:pPr>
        <w:spacing w:after="120" w:line="264"/>
      </w:pPr>
      <w:r>
        <w:rPr>
          <w:sz w:val="20"/>
          <w:szCs w:val="20"/>
        </w:rPr>
        <w:t xml:space="preserve">Ликвидность: минимальное значение коэффициента покрытия ликвидности (LCR) и коэффициента нетто стабильного фондирования (NSFR) для банка с универсальной лицензией установлено в размере 0,9 в период с 01.01.2026 по 31.12.2027 и 1,0 с 01.01.2028.</w:t>
      </w:r>
    </w:p>
    <w:p>
      <w:pPr>
        <w:spacing w:after="120" w:line="264"/>
      </w:pPr>
      <w:r>
        <w:rPr>
          <w:sz w:val="20"/>
          <w:szCs w:val="20"/>
        </w:rPr>
        <w:t xml:space="preserve">Концентрация: отношение размера риска на одного заёмщика к собственному капиталу не превышает 0,25 для прочих заёмщиков (в том числе не более 0,10 по бланковым займам) и 0,10 для лиц, связанных с банком особыми отношениями; совокупная сумма рисков по связанным лицам не превышает размера собственного капитала. Совокупная сумма рисков на одного заёмщика, размер риска каждого из которых превышает 10 % собственного капитала, не превышает размер собственного капитала более чем в 5 раз.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Последнее определяет регуляторную конструкцию «крупного заёмщика»: это заёмщик с риском свыше 10 % СК, а агрегатное ограничение по ним — 500 % СК. Наша метрика топ-20 отбирает заёмщиков не по этому признаку, а по размеру, и ограничивает их суммой в 95 % СК. То есть внутренняя метрика жёстче регуляторной в пять с лишним раз и при этом меряет другую совокупность — см. Г2.</w:t>
      </w:r>
    </w:p>
    <w:p>
      <w:pPr>
        <w:pStyle w:val="Heading2"/>
        <w:spacing w:after="120" w:before="240"/>
      </w:pPr>
      <w:r>
        <w:t xml:space="preserve">9.4. Что взято из № 52 и № 61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52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 — диапазон нормативного значения 0–3 % от суммы активов, условных и возможных обязательств, взвешенных по степени кредитного риска. Повышение вводится в действие не ранее чем через 12 месяцев. Секторальный контрциклический буфер — диапазон 0–6 % от суммы активов соответствующего сектора. Коэффициент долговой нагрузки заёмщика — внешнее ограничение на розничное кредитование, влияет на приток в необеспеченный портфель, где сосредоточены все активные метрики РА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61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Дефолт — наличие просроченного платежа сроком более 90 календарных дней (и иные признаки). Внутренняя рейтинговая модель — модель оценки кредитоспособности заёмщика. SICR оценивается в том числе через превышение PD порогового значения, устанавливаемого организацией. Требования к дискриминирующей способности рейтинговых моделей (статистические тесты) и к независимости подразделения, ответственного за валидацию: оно независимо от лиц, участвующих в присвоении рейтингов и кредитовании, не подотчётно им, а результаты валидации с подробным обоснованием предоставляются органу управления. Пороговые значения LTV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Практическое следствие из № 61 для нашего набора метрик: требования к валидации рейтинговых моделей и к их дискриминирующей способности дают готовое основание для метрик модельного риска (доля EAD под моделями с просроченной валидацией, доля портфеля без действующего рейтинга — Г8) при переходе к MRM.</w:t>
      </w:r>
    </w:p>
    <w:p>
      <w:pPr>
        <w:pStyle w:val="Heading2"/>
        <w:spacing w:after="120" w:before="240"/>
      </w:pPr>
      <w:r>
        <w:t xml:space="preserve">9.5. Международные ориентиры</w:t>
      </w:r>
    </w:p>
    <w:p>
      <w:pPr>
        <w:spacing w:after="120" w:line="264"/>
      </w:pPr>
      <w:r>
        <w:rPr>
          <w:sz w:val="20"/>
          <w:szCs w:val="20"/>
        </w:rPr>
        <w:t xml:space="preserve">Для методологии, не для комплаенса: FSB, Principles for an Effective Risk Appetite Framework (2013) — терминология риск-ёмкости, аппетита, лимитов и каскадирования; ECB Guide to the ICAAP — связка «риск-аппетит ↔ капитал ↔ бизнес-план» и внутренние буферы; EBA Guidelines on internal governance — эскалация нарушений; BCBS, Corporate governance principles for banks (2015). Это то, что в постановке названо «документы ЕЦБ». Реквизиты и актуальность редакций перед цитированием во внутреннем документе проверить — они обновляются.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Методология уровней, определённых как допустимые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В главе используется рабочее слово «предлимит». В документах, идущих на КУР и СД, применять термин п. 18 пп. 2 Правил № 86 — «уровень, определённый как допустимый»: он же стоит в графе 6 Таблицы 2 формы отчётности по ВПОДК, и совпадение терминов избавит от отдельной сверки при следующей проверке.</w:t>
      </w:r>
    </w:p>
    <w:p>
      <w:pPr>
        <w:pStyle w:val="Heading2"/>
        <w:spacing w:after="120" w:before="240"/>
      </w:pPr>
      <w:r>
        <w:t xml:space="preserve">10.1. Периметр применения</w:t>
      </w:r>
    </w:p>
    <w:p>
      <w:pPr>
        <w:spacing w:after="120" w:line="264"/>
      </w:pPr>
      <w:r>
        <w:rPr>
          <w:sz w:val="20"/>
          <w:szCs w:val="20"/>
        </w:rPr>
        <w:t xml:space="preserve">Предлимит имеет смысл только там, где метрика непрерывна, определение стабильно и лимит достижим. По результатам главы 7 периметр сужается: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Группа метрик</w:t>
            </w:r>
          </w:p>
        </w:tc>
        <w:tc>
          <w:tcPr>
            <w:tcW w:type="dxa" w:w="5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кредитные метрики РБ (EL необеспеченный; PD необеспеченные, денежные, товарные, обеспеченные)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Полная статистическая калибровка. Предварительно с учётом Г10 и Г11 независимых метрик здесь три-четыре, а не пять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Сначала Г1 и Г2 (знаменатель и смысл метрики), затем калибровка. Метрика нарушена — предлимит устанавливается одновременно с планом восстановления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Метрики капитала и ликвидности (8 шт.)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Если подтверждается Г12.a — предлимит есть внутренний буфер над регуляторным минимумом, и обосновывать его надо результатами стресс-теста, а не долей от лимита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метрики (VaR; EL общий и прочий РБ; PD прочие)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Сначала пересмотр самого лимита, затем зона. Иначе предлимит фиксирует произвольный уровень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Бинарные (уровень отсечения) и метрики с нулевым фактом (комплаенс, операционный)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Зонирование неприменимо. Требуется замещающий опережающий индикатор (Г6, Г7)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КБ; EL обеспеченный РБ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Пересмотр или исключение метрики (Г5, Г10). Предлимит не устанавливать</w:t>
            </w:r>
          </w:p>
        </w:tc>
      </w:tr>
    </w:tbl>
    <w:p>
      <w:pPr>
        <w:pStyle w:val="Heading2"/>
        <w:spacing w:after="120" w:before="240"/>
      </w:pPr>
      <w:r>
        <w:t xml:space="preserve">10.2. Подходы к калибровке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4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Суть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Где применим у нас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A. Доля от лимита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 зона = 80–90 % лимита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там, где нет ряда: модельный риск, новые метрики. С обязательной пометкой «экспертно, пересмотр после 8 наблюдений»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B. Статистический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лимит − k × σ квартальных приращений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Основной для активных кредитных метрик РБ при наличии ряда 12–16 кварталов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C. Капиталоёмкий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уровень, при котором прогнозный капитал или ROE опускается до целевого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Для метрик капитала и ликвидности — прямо вытекает из Г12; связка со стресс-тестом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D. Прогнозный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Триггер по прогнозу на 2 квартала и по скорости приближения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независимый триггер для активных метрик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Экспертное значение, не помеченное как экспертное, через год становится неоспоримым — именно так, по-видимому, и появились лимиты, происхождение которых сейчас предстоит восстанавливать.</w:t>
      </w:r>
    </w:p>
    <w:p>
      <w:pPr>
        <w:pStyle w:val="Heading2"/>
        <w:spacing w:after="120" w:before="240"/>
      </w:pPr>
      <w:r>
        <w:t xml:space="preserve">10.3. Зоны и правило де-эскалации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7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Условие (для метрик с лимитом сверху)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ниже сигнального значения и прогноз на 2 квартала ниже сигнального значения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достиг сигнального значения либо прогноз на 2 квартала пробивает лимит — даже если факт ещё зелёный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достиг или превысил лимит либо два квартала подряд в жёлтой зоне без улучшения динамики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Для метрик с лимитом снизу (капитал, ликвидность) зоны зеркальны. Правило выхода: из жёлтой — два последовательных квартала ниже сигнального значения; из красной — только решением органа, зафиксировавшего вход. Без правила де-эскалации статус будет либо залипать, либо сниматься произвольно.</w:t>
      </w:r>
    </w:p>
    <w:p>
      <w:pPr>
        <w:pStyle w:val="Heading2"/>
        <w:spacing w:after="120" w:before="240"/>
      </w:pPr>
      <w:r>
        <w:t xml:space="preserve">10.4. Обязательный backtest</w:t>
      </w:r>
    </w:p>
    <w:p>
      <w:pPr>
        <w:spacing w:after="120" w:line="264"/>
      </w:pPr>
      <w:r>
        <w:rPr>
          <w:sz w:val="20"/>
          <w:szCs w:val="20"/>
        </w:rPr>
        <w:t xml:space="preserve">Прогнать зоны по ряду минимум за 3 года и проверить: (1) срабатывала бы жёлтая зона перед каждым фактическим приближением к лимиту; (2) частота ложных срабатываний; (3) нет ли периодов постоянного нахождения в жёлтой зоне. Третий пункт диагностический: постоянная жёлтая зона означает неверную калибровку самого лимита, и это выносится отдельно, а не «подкручиванием» сигнального значения до удобного.</w:t>
      </w:r>
    </w:p>
    <w:p>
      <w:pPr>
        <w:spacing w:after="120" w:line="264"/>
      </w:pPr>
      <w:r>
        <w:rPr>
          <w:sz w:val="20"/>
          <w:szCs w:val="20"/>
        </w:rPr>
        <w:t xml:space="preserve">Ограничение ряда: до 01.01.2026 провизии считались по пост. № 269, после — по № 61 (дефолт определён как просрочка свыше 90 календарных дней и иные признаки). Если определения дефолта или стадий изменились, ряд EL и PD через эту границу несопоставим. Проверяется в рамках задачи 3; при подтверждении — либо пересчёт ряда по единым правилам, либо укороченный ряд с явной оговоркой.</w:t>
      </w:r>
    </w:p>
    <w:p>
      <w:pPr>
        <w:spacing w:after="120" w:line="264"/>
      </w:pPr>
      <w:r>
        <w:rPr>
          <w:sz w:val="20"/>
          <w:szCs w:val="20"/>
        </w:rPr>
        <w:t xml:space="preserve">Отдельная проверка для топ-20: по историческому ряду посмотреть, когда показатель прошёл 95 % и был ли этот момент зафиксирован. Если показатель находится выше лимита несколько кварталов — это уже не вопрос предлимита, а вопрос исполнения решений по нарушению.</w:t>
      </w:r>
    </w:p>
    <w:p>
      <w:pPr>
        <w:pStyle w:val="Heading1"/>
        <w:spacing w:after="160" w:before="320"/>
      </w:pPr>
      <w:r>
        <w:t xml:space="preserve">11. Меры реагирования по зонам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100"/>
        <w:gridCol w:w="3400"/>
        <w:gridCol w:w="1200"/>
      </w:tblGrid>
      <w:tr>
        <w:trPr>
          <w:tblHeader/>
        </w:trPr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 фиксирует и срок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Кого уведомляют</w:t>
            </w:r>
          </w:p>
        </w:tc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Обязательные действия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Орган решения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в составе квартального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Плановая отчётность по РА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Дополнительных действий нет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5 рабочих дней с даты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Владелец метрики, бизнес-подразделение-драйвер, КУР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Анализ причин с разложением на факторы: vintage, сегмент, продукт, канал, изменение методологии или модели. 2) План мероприятий с ответственными и сроками. 3) Прогноз на 2 квартала. 4) Ежемесячный мониторинг до выхода из зоны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Комитет по управлению рисками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3 рабочих дня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Правление, Совет директоров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Немедленные ограничивающие меры из заранее утверждённого перечня: ограничение или остановка выдач в сегменте-драйвере, ужесточение cut-off, пересмотр pricing, ограничение лимитов на крупных заёмщиков. 2) План восстановления с целевой датой возврата в зелёную зону. 3) Решение: восстановление либо обоснованный пересмотр лимита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Совет директоров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Принцип: пересмотр лимита не может быть автоматической реакцией на его нарушение — иначе система лимитов саморазрушается за два-три цикла. Пересмотр допустим только решением СД и только при изменении бизнес-модели, стратегии или риск-ёмкости. Временный акцепт превышения — также решением СД, с указанием срока.</w:t>
      </w:r>
    </w:p>
    <w:p>
      <w:pPr>
        <w:spacing w:after="120" w:line="264"/>
      </w:pPr>
      <w:r>
        <w:rPr>
          <w:sz w:val="20"/>
          <w:szCs w:val="20"/>
        </w:rPr>
        <w:t xml:space="preserve">Сценарная дифференциация (прямое требование из замечания СВА): меры должны различаться по причине входа в зону — ухудшение качества нового притока, ухудшение старых поколений, изменение макросреды, изменение методологии или модели, разовый крупный дефолт. Для первых трёх нужны бизнес-меры, для четвёртой — методологический разбор и пересчёт ряда, для пятой — индивидуальная работа и проверка концентрации. Действующее нарушение по топ-20 относится, вероятно, к отдельному шестому типу: изменение знаменателя, а не числителя (Г1) — и это тоже должно быть предусмотрено.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Проекция: целевое состояние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900"/>
      </w:tblGrid>
      <w:tr>
        <w:trPr>
          <w:tblHeader/>
        </w:trPr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Сейчас (де-факто)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Целевое состояние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зафиксирована; по капиталу и ликвидности, вероятно, совпадает с лимитом РА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Зафиксирована отдельно от РА, со ссылкой на Нормативы № 85, буферы по № 52 и применимые надзорные надбавки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значения капитала в одном отчёте; знаменатели не описаны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Единый реестр определений: капитал, портфель, EAD — с указанием, какое определение в какой метрике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Обоснование лимитов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восстанавливается по документам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лимиту: источник, расчёт, дата установления, орган, связь с бизнес-планом или стресс-тестом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Состав метрик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метрик, из них активных 6, избыточных и неработающих не менее 9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Пересобранный набор: избыточные исключены, добавлены концентрация внутри КБ, покрытие рейтингами, модельный риск, показатели доходности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Предлимиты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Установлены по активным метрикам, откалиброваны, прошли backtest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 с исполнителями и сроками; сценарная дифференциация; правило де-эскалации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Качество расчёта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#ЗНАЧ!, непроверяемые формулы и непоследовательный «Запас» в отчёте на УО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контроля отчёта перед выносом: чек-лист, второй проверяющий, запрет выноса при незакрытых ошибках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Устойчивость к изменениям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Правила нет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показателя»: что происходит с лимитом и предлимитом при смене модели, витрины, периметра, методики МСФО</w:t>
            </w:r>
          </w:p>
        </w:tc>
      </w:tr>
    </w:tbl>
    <w:p>
      <w:pPr>
        <w:pStyle w:val="Heading2"/>
        <w:spacing w:after="120" w:before="240"/>
      </w:pPr>
      <w:r>
        <w:t xml:space="preserve">12.1. Интеграция с предстоящими событиями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Стресс-тест.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Правильная связка: лимит выдерживается в базовом сценарии; вход в жёлтую зону в стрессовом допустим; выход за риск-ёмкость в стрессе означает завышенный риск-аппетит. Стресс-тест становится инструментом калибровки (подход C), а не отдельным упражнением. Для метрик капитала и ликвидности это единственный содержательный способ обосновать буфер по Г12.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MRM и модельный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Кандидаты в метрики: доля EAD под моделями с просроченной валидацией; число моделей высокого риска без плана ремедиации; model risk add-on к провизиям или капиталу; доля ручных корректировок в расчёте провизий и рейтингов (стыкуется с требованиями 188); доля моделей за пределами области применимости. Ряда нет — калибровка подходом A с планом пересмотра. Отдельно: Г8 (покрытие рейтингами МСБ 76,8 %) — готовая метрика модельного риска, данные по ней уже есть.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Рейтинговые модели.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Внедрение меняет шкалу PD и через неё EL, то есть затрагивает все активные метрики. Заложить заранее: пересчёт исторического ряда по новой шкале минимум на 8 кварталов; переходное положение с маппингом старой шкалы на новую и сроком действия; правило, что смена модели влечёт обязательный пересмотр лимита и предлимита.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Формулировка задачи и план работ</w:t>
      </w:r>
    </w:p>
    <w:p>
      <w:pPr>
        <w:pStyle w:val="Heading2"/>
        <w:spacing w:after="120" w:before="240"/>
      </w:pPr>
      <w:r>
        <w:t xml:space="preserve">13.1. Задача де-факто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0"/>
      </w:tblGrid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предписано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Обеспечить пересмотр уровней риск-аппетита по кредитному риску: провести анализ актуальности, подготовить предложения по сохранению либо актуализации, вынести на УО, и в дальнейшем выносить вопрос в регулярную управленческую отчётность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поставлено устно сверх этого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Изучить ВНД; восстановить официальную инструкцию расчёта показателей и обоснование лимитов; установить предлимиты (три зоны); прописать меры реагирования по зонам и сценариям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обнаружено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 25 лимитов работают 6, один нарушен, обоснование лимитов не восстанавливается, буфер до риск-ёмкости по капиталу равен 0,5 пп либо отрицателен, контроль качества расчёта отсутствует, требования п. 15–18 Правил № 86 выполнены частично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Как решается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Двумя параллельными треками. Трек А закрывает замечание в предписанные сроки и по предписанным артефактам. Трек Б выполняет устные задачи и закрывает выявленные несоответствия Правилам № 86. Треки связаны: результаты Б, готовые к 30.09, входят в записку трека А; остальное уходит в предложения на УО либо в отдельные документы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А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кредитный риск: КБ, МСБ, РБ — 14 метрик из 25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Б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Все 25 метрик; полная статистическая калибровка допустимых уровней — по активным метрикам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Жёсткое ограничение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по кредитному риску должны укладываться в утверждённый агрегированный уровень риск-аппетита (п. 18 часть 6 Правил № 86). Если не укладываются — на УО выносится и пересмотр агрегированного уровня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по данным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Выводы глав 6–7 сделаны по отчёту без доступа к первичным расчётам. До получения ВНД и доступа к расчётам работа ведётся на гипотезах</w:t>
            </w:r>
          </w:p>
        </w:tc>
      </w:tr>
    </w:tbl>
    <w:p>
      <w:pPr>
        <w:pStyle w:val="Heading2"/>
        <w:spacing w:after="120" w:before="240"/>
      </w:pPr>
      <w:r>
        <w:t xml:space="preserve">13.2. Трек А — закрытие замечания</w:t>
      </w:r>
    </w:p>
    <w:p>
      <w:pPr>
        <w:spacing w:after="120" w:line="264"/>
      </w:pPr>
      <w:r>
        <w:rPr>
          <w:sz w:val="20"/>
          <w:szCs w:val="20"/>
        </w:rPr>
        <w:t xml:space="preserve">Обратный отсчёт от 30.09.2026: около шести недель на записку. Всё, что не успевает в неё, переносится в предложения на УО к 31.12.2026 — это допустимо, но состав записки задан замечанием и сокращению не подлежит.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2200"/>
        <w:gridCol w:w="26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Работа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Выход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Запросы, закрывающие блокирующие вопросы: определение СК в метрике топ-20 и статус нарушения (Г1, Г2); статус системной значимости Банка и сверка лимитов по капиталу с № 85 (Г12)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22.08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письменных запроса и ответы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 ВНД: Политика/Правила/Методика по риск-аппетиту, заявление РА, ВПОДК, положение о стресс-тестировании, протоколы утверждения действующих лимитов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ВНД с реквизитами и датами утверждения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Найти норму о ежегодном пересмотре во внутренних документах и зафиксировать её пункт; при отсутствии — оформить как выявленный пробел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Выписка из ВНД либо констатация пробела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«текущий риск-профиль»: динамика 14 кредитных метрик за 8–12 кварталов, фактическая утилизация лимитов, случаи нарушений и их длительность в формате граф 7–8 Таблицы 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 с рядами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«структура и качество кредитного портфеля»: сегменты, продукты, обеспеченность, миграция рейтингов, концентрация (HHI, топ-1, топ-10, отраслевая и валютная — по Г15), покрытие рейтингами (Г8)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«результаты стресс-тестирования»: поведение 14 метрик в стрессовом сценарии, проверка, выдерживаются ли лимиты в базовом и в стрессе — по п. 18 часть 4 Правил № 86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19.09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раздел; при отсутствии актуального стресс-теста — обоснование ограничения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 + владелец стресс-теста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Свод: вывод по каждому из 14 лимитов — сохранить, изменить, исключить, заменить; проверка на укладываемость в агрегированный уровень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26.09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целиком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Согласование и подписание записки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Подписанная записка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Джакипбеков,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на УО: изменения уровней, состав метрик, допустимые уровни по активным метрикам, регламент ежегодного пересмотра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 на УО, выписка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мероприятия 3: раздел «статус пересмотра уровней» в регулярной управленческой отчётности и годовой чек-лист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Проект раздела и форма чек-листа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— А6. Если актуального стресс-теста по кредитному риску нет либо его результаты не разложены до уровня метрик риск-аппетита, записка не сможет закрыть требование замечания в полном объёме. Это выясняется на первой неделе, а не в сентябре: проверить наличие и применимость стресс-теста — часть А1.</w:t>
      </w:r>
    </w:p>
    <w:p>
      <w:pPr>
        <w:pStyle w:val="Heading2"/>
        <w:spacing w:after="120" w:before="240"/>
      </w:pPr>
      <w:r>
        <w:t xml:space="preserve">13.3. Трек Б — методология и устные задачи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7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Гипотезы</w:t>
            </w:r>
          </w:p>
        </w:tc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 и критерий готовности (DoD)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соответствия требованиям Правил № 86 (п. 12–18, п. 34) — «требование → наш документ → пункт → статус»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Г15, Г16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покрытия. DoD: явно перечислены незакрытые требования с указанием пункта Правил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Официальная инструкция расчёта (задача 2 Дамира = п. 17 Правил № 86): паспорт по каждой из 25 метрик — источник, формула, числитель, знаменатель, периметр, владелец, условия корректировки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Г5, Г7, Г8,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Паспорта + отчёт о воспроизводимости. DoD: последний квартальный расчёт воспроизведён по документу без обращения к автору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Восстановление обоснования лимитов; классификация 25 лимитов; анализ избыточности парных метрик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Г9, Г10, Г11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лимитов с классом и обоснованием; предложение по составу метрик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Уровни, определённые как допустимые: методика калибровки, значения по активным метрикам, backtest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Г5–Г7, Г9–Г12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Методика + значения + backtest. DoD: доказано на данных, что жёлтая зона срабатывает раньше приближения к лимиту и даёт запас минимум в один квартал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 по зонам и сценариям (п. 18 пп. 2 и 3 Правил № 86)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Проверочный кейс — нарушение по топ-20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эскалации; сценарные плейбуки; правило де-эскалации. DoD: в каждой ячейке исполнитель, срок, орган, форма фиксации решения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Отдельная записка по качеству расчёта отчёта и регламент контроля перед выносом на УО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Г4,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проверки, роль второго проверяющего, запрет выноса при незакрытых ошибках. DoD: согласован с владельцем отчёта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Интеграция: стресс-тест как источник калибровки по капиталу и ликвидности; метрики модельного риска для MRM; переходные положения по шкале PD при внедрении рейтинговых моделей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Г12, Г8, Г14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показателя»; метрики модельного риска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Что из трека Б успевает в записку к 30.09: Б1 частично, Б3 в части классификации кредитных лимитов, предварительные выводы Б4 по пяти активным метрикам РБ. Б2 в полном объёме за шесть недель не делается — 25 паспортов требуют доступа к расчётам и итераций с владельцами; в записке фиксируется как выявленное несоответствие п. 17 с планом устранения. Б5–Б7 идут после 30.09 и попадают в предложения на УО либо в отдельные документы.</w:t>
      </w:r>
    </w:p>
    <w:p>
      <w:pPr>
        <w:pStyle w:val="Heading2"/>
        <w:spacing w:after="120" w:before="240"/>
      </w:pPr>
      <w:r>
        <w:t xml:space="preserve">13.4. Что нужно решить до старта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трека Б: подтвердить, что пересмотр состава и калибровки лимитов входит в задачу. Если нет — работа сводится к светофору по шести метрикам, и ограничение стоит зафиксировать письменно: 19 лимитов из 25 в обозримом горизонте не срабатывают.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Кто владеет стресс-тестом по кредитному риску и есть ли актуальный результат в разрезе метрик риск-аппетита. От ответа зависит выполнимость А6, то есть выполнимость всего трека 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Наш ли периметр закрытие Г1 и Г12 (запросы А1) или это уровень Дамира и Улданы.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Формат итога: изменения в действующую Методику или отдельный документ.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Разделение с Ерланом: предложенное в таблице деление — Мирас берёт метрики, ряды и стресс, Ерлан берёт ВНД, портфель и регламенты. Согласовать с ним и с Айдаром.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14. Открытые вопросы и запрос на входные данные</w:t>
      </w:r>
    </w:p>
    <w:p>
      <w:pPr>
        <w:pStyle w:val="Heading2"/>
        <w:spacing w:after="120" w:before="240"/>
      </w:pPr>
      <w:r>
        <w:t xml:space="preserve">14.1. Вопросы владельцам расчёта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Определение СК в метрике топ-20; источник и дата среза значения 442 346 млн ₸. Блокирующий.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расчёта топ-20: балансовые и внебалансовые позиции, группы связанных заёмщиков.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Формулы ACARI и ALRI; при композитной конструкции — веса и их обоснование.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Что считается в «уровне ожидаемой стоимости риска» и почему по КБ значение отрицательное.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Формула столбца «Запас» и причина расхождения по КБ CoR и операционному риску.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Методика расчёта «предполагаемого убытка» по операционному и комплаенс-риску; число зарегистрированных событий за 4–8 кварталов.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Причина отсутствия рейтинга у 721 заёмщика МСБ; наличие в Методике исключений из рейтингования.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Полный перечень мер риска по КБ и МСБ — все ли они попадают в отчёт, или часть контролируется вне заявления РА.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Наличие сопоставимого исторического ряда по каждой метрике минимум за 12 кварталов — от этого зависит применимость статистического подхода.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Какой орган утверждает заявление РА и в какой форме оформляется вынос.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Есть ли в действующих ВНД понятие «нарушение риск-аппетита» и описаны ли последствия; какое решение принято по действующему нарушению по топ-20.</w:t>
      </w:r>
    </w:p>
    <w:p>
      <w:pPr>
        <w:pStyle w:val="Heading2"/>
        <w:spacing w:after="120" w:before="240"/>
      </w:pPr>
      <w:r>
        <w:t xml:space="preserve">14.2. Что нужно решить с руководством</w:t>
      </w:r>
    </w:p>
    <w:p>
      <w:pPr>
        <w:spacing w:after="120" w:line="264"/>
      </w:pPr>
      <w:r>
        <w:rPr>
          <w:sz w:val="20"/>
          <w:szCs w:val="20"/>
        </w:rPr>
        <w:t xml:space="preserve">Вопросы организации работы вынесены в § 13.4 и здесь не повторяются. Ниже — то, что требует решения по существу.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Статус системной значимости Банка и, при подтверждении, срочность реакции на Г12: лимиты РА по капиталу ниже регуляторного значения — это не методологический, а надзорный вопрос.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Доступ к действующим ВНД, к заявлению риск-аппетита, к документу по ВПОДК, положению о стресс-тестировании и к протоколам, которыми утверждались текущие 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Владелец расчёта по каждой метрике; порядок взаимодействия с Улданой как консолидатором отчёта.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Приоритет по треку Б: все метрики сразу или пилот на активных кредитных метриках РБ, где есть и данные, и содержательный смысл.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Нужна ли отдельная записка по дефектам отчёта (Г1, Г3, Г4, Г13) — по адресатам это может быть иная аудитория, чем методология риск-аппетита. Ответ на этот вопрос определяет, попадают ли дефекты в записку по замечанию или выносятся отдельно.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Границы полномочий: вправе ли БРМ предлагать исключение метрик из заявления РА (Г5, Г6, Г9, Г10) или только изменение их значений.</w:t>
      </w:r>
    </w:p>
    <w:p>
      <w:pPr>
        <w:pStyle w:val="Heading2"/>
        <w:spacing w:after="120" w:before="240"/>
      </w:pPr>
      <w:r>
        <w:t xml:space="preserve">Оговорка о статусе данных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Глава 2 — конспект постановки Дамира без правок содержания. Глава 3 — официальное замечание и план мероприятий в исходной формулировке. Глава 5 — воспроизведение отчёта департамента. Главы 6–7 и 10–13 — выводы БРМ по данным «Отчёта об уровнях риск-аппетита» на 01.07.2026 без доступа к первичным расчётам, определениям метрик и методике. Восстановленные величины (числитель ACARI, база ALRI, implied LGD, доли портфеля, итоги по рейтинговым таблицам) получены обратным счётом и могут расходиться с фактическими из-за определений, отсутствующих в отчёте. Расчёт по Г10 опирается на допущение неизменности LGD и структуры портфеля. Реквизиты и статусы редакций нормативных актов подлежат проверке до цитирования. Каждая находка сформулирована как гипотеза и требует проверки до вынесения за пределы БРМ. При расхождении приоритет имеют внутренние нормативные документы и нормативные правовые акты.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2026-08-17T10:52:17.142Z</dcterms:created>
  <dcterms:modified xsi:type="dcterms:W3CDTF">2026-08-17T10:52:17.142Z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