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Риск-аппетит по кредитному риску: задача и запросы — короткая передача</w:t>
      </w:r>
    </w:p>
    <w:p>
      <w:pPr>
        <w:jc w:val="both"/>
      </w:pPr>
      <w:r>
        <w:rPr>
          <w:color w:val="0B0B0B"/>
        </w:rPr>
        <w:t xml:space="preserve">На 17.09.2026. Полная версия — </w:t>
      </w:r>
      <w:r>
        <w:rPr>
          <w:rFonts w:ascii="Consolas" w:hAnsi="Consolas"/>
          <w:color w:val="0B0B0B"/>
          <w:sz w:val="19"/>
        </w:rPr>
        <w:t>REVISION_RA.md</w:t>
      </w:r>
      <w:r>
        <w:rPr>
          <w:color w:val="0B0B0B"/>
        </w:rPr>
        <w:t>; здесь только то, что нужно, чтобы включиться или передать дальше.</w:t>
      </w:r>
    </w:p>
    <w:p>
      <w:pPr>
        <w:pStyle w:val="Heading2"/>
      </w:pPr>
      <w:r>
        <w:t>Что поручено</w:t>
      </w:r>
    </w:p>
    <w:p>
      <w:pPr>
        <w:jc w:val="both"/>
      </w:pPr>
      <w:r>
        <w:rPr>
          <w:color w:val="0B0B0B"/>
        </w:rPr>
        <w:t>После защиты работы по риск-аппетиту Дамир поставил четыре обращения: пересобрать записку со сторилайном и донастроить триггеры; довести меры реагирования до разбора всех случаев для Sabila; оценить саму рамку — управляет она риском или это процесс ради процесса; разобрать CoR с мастер-шкалой и упаковать зонирование в переносимый инструмент.</w:t>
      </w:r>
    </w:p>
    <w:p>
      <w:pPr>
        <w:jc w:val="both"/>
      </w:pPr>
      <w:r>
        <w:rPr>
          <w:color w:val="0B0B0B"/>
        </w:rPr>
        <w:t>Сведено в один вопрос:</w:t>
      </w:r>
    </w:p>
    <w:p>
      <w:pPr>
        <w:ind w:left="480"/>
      </w:pPr>
      <w:r>
        <w:rPr>
          <w:i/>
          <w:color w:val="5A5A5A"/>
        </w:rPr>
        <w:t>**Управляет ли действующая система риск-аппетита кредитным риском Банка — и если нет,</w:t>
      </w:r>
    </w:p>
    <w:p>
      <w:pPr>
        <w:ind w:left="480"/>
      </w:pPr>
      <w:r>
        <w:rPr>
          <w:i/>
          <w:color w:val="5A5A5A"/>
        </w:rPr>
        <w:t>что менять: основание измерения, механизм реагирования, устройство рамки или всё три.**</w:t>
      </w:r>
    </w:p>
    <w:p>
      <w:pPr>
        <w:jc w:val="both"/>
      </w:pPr>
      <w:r>
        <w:rPr>
          <w:color w:val="0B0B0B"/>
        </w:rPr>
        <w:t xml:space="preserve">Итог — решение </w:t>
      </w:r>
      <w:r>
        <w:rPr>
          <w:b/>
          <w:color w:val="0B0B0B"/>
        </w:rPr>
        <w:t>пивот / достройка / актуализация</w:t>
      </w:r>
      <w:r>
        <w:rPr>
          <w:color w:val="0B0B0B"/>
        </w:rPr>
        <w:t>. Его принимает Дамир и вышестоящие. Наша задача — не рекомендация, а пакет проверяемых утверждений, по которому это решение можно принять.</w:t>
      </w:r>
    </w:p>
    <w:p>
      <w:pPr>
        <w:pStyle w:val="Heading2"/>
      </w:pPr>
      <w:r>
        <w:t>Где мы сейчас</w:t>
      </w:r>
    </w:p>
    <w:p>
      <w:pPr>
        <w:jc w:val="both"/>
      </w:pPr>
      <w:r>
        <w:rPr>
          <w:color w:val="0B0B0B"/>
        </w:rPr>
        <w:t>Четыре слоя, нижний обесценивает верхний: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Слой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спрашивает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Состояние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А — основание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держатся ли числа, которые меряем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вскрыт и частично обрушен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Б — механизм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ловит ли конструкция ухудшение вовремя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собран, ждёт содержания мер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В — рамка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управляет ли система риском вообще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материал собран, оценка не написана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Г — воспроизводимость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можно ли передать и повторять ежегодно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структура согласована, кода нет</w:t>
            </w:r>
          </w:p>
        </w:tc>
      </w:tr>
    </w:tbl>
    <w:p/>
    <w:p>
      <w:pPr>
        <w:jc w:val="both"/>
      </w:pPr>
      <w:r>
        <w:rPr>
          <w:b/>
          <w:color w:val="0B0B0B"/>
        </w:rPr>
        <w:t>Три вещи, которые надо знать про слой А.</w:t>
      </w:r>
      <w:r>
        <w:rPr>
          <w:color w:val="0B0B0B"/>
        </w:rPr>
        <w:t xml:space="preserve"> На листе 50-1 формы 50 на одну дату </w:t>
      </w:r>
      <w:r>
        <w:rPr>
          <w:b/>
          <w:color w:val="0B0B0B"/>
        </w:rPr>
        <w:t>два разных «Собственных капитала»</w:t>
      </w:r>
      <w:r>
        <w:rPr>
          <w:color w:val="0B0B0B"/>
        </w:rPr>
        <w:t xml:space="preserve">: топ-20 делится на 442 346 млн ₸, а k2 считается от 550 245 млн ₸. При первом метрика даёт перелимит +6,50 пп, при втором — запас +13,40 пп. Дальше: </w:t>
      </w:r>
      <w:r>
        <w:rPr>
          <w:b/>
          <w:color w:val="0B0B0B"/>
        </w:rPr>
        <w:t>ACARI остаётся зелёным при k1 = 0, ALRI — при HLA = 0</w:t>
      </w:r>
      <w:r>
        <w:rPr>
          <w:color w:val="0B0B0B"/>
        </w:rPr>
        <w:t xml:space="preserve">, потому что оба есть среднее арифметическое трёх коэффициентов разного масштаба. И </w:t>
      </w:r>
      <w:r>
        <w:rPr>
          <w:b/>
          <w:color w:val="0B0B0B"/>
        </w:rPr>
        <w:t>CoR не имеет формулы ни на одном листе</w:t>
      </w:r>
      <w:r>
        <w:rPr>
          <w:color w:val="0B0B0B"/>
        </w:rPr>
        <w:t xml:space="preserve"> формы — числа вписаны.</w:t>
      </w:r>
    </w:p>
    <w:p>
      <w:pPr>
        <w:jc w:val="both"/>
      </w:pPr>
      <w:r>
        <w:rPr>
          <w:b/>
          <w:color w:val="0B0B0B"/>
        </w:rPr>
        <w:t>Что закрыто и снимает один из поводов для пивота.</w:t>
      </w:r>
      <w:r>
        <w:rPr>
          <w:color w:val="0B0B0B"/>
        </w:rPr>
        <w:t xml:space="preserve"> Мастер-шкала 1–50 расшифрована: это матрица «рейтинг заёмщика 1–10 × рейтинг сделки I–V» из Приложения № 5.9 к Методике провизий, отсечение 33 равно счёту приемлемых сочетаний. База </w:t>
      </w:r>
      <w:r>
        <w:rPr>
          <w:b/>
          <w:color w:val="0B0B0B"/>
        </w:rPr>
        <w:t>общая с провизиями</w:t>
      </w:r>
      <w:r>
        <w:rPr>
          <w:color w:val="0B0B0B"/>
        </w:rPr>
        <w:t xml:space="preserve">, специфично для аппетита только отсечение. Версия «аппетит измеряет то, чем нигде не управляют» </w:t>
      </w:r>
      <w:r>
        <w:rPr>
          <w:b/>
          <w:color w:val="0B0B0B"/>
        </w:rPr>
        <w:t>опровергнута</w:t>
      </w:r>
      <w:r>
        <w:rPr>
          <w:color w:val="0B0B0B"/>
        </w:rPr>
        <w:t>.</w:t>
      </w:r>
    </w:p>
    <w:p>
      <w:pPr>
        <w:pStyle w:val="Heading2"/>
      </w:pPr>
      <w:r>
        <w:t>Кто что делает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Кому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Что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Sabila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 xml:space="preserve">содержание мер R0…R4 из действующих процедур; где процедуры нет — фиксировать это как результат. Форма — § 8 </w:t>
            </w:r>
            <w:r>
              <w:rPr>
                <w:rFonts w:ascii="Consolas" w:hAnsi="Consolas"/>
                <w:color w:val="0B0B0B"/>
                <w:sz w:val="19"/>
              </w:rPr>
              <w:t>MEASURES_FSM.md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Айдар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вход по PD/LGD и стрессовым параметрам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Ерлан</w:t>
            </w:r>
            <w:r>
              <w:rPr>
                <w:color w:val="0B0B0B"/>
              </w:rPr>
              <w:t xml:space="preserve"> (через Айдара)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два дефекта рейтинговых моделей; расчёт по донастройке триггеров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Мирас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запросы наружу, оценка рамки по FSB, обратный стресс, инструмент, записка v0.6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Дамир и вышестоящие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решение пивот / достройка / актуализация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Уполномоченный орган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знаменатель топ-20 и уровень; смысл числа 95; пороги механизма; утверждение мер</w:t>
            </w:r>
          </w:p>
        </w:tc>
      </w:tr>
    </w:tbl>
    <w:p/>
    <w:p>
      <w:pPr>
        <w:jc w:val="both"/>
      </w:pPr>
      <w:r>
        <w:rPr>
          <w:b/>
          <w:color w:val="0B0B0B"/>
        </w:rPr>
        <w:t>Начинать можно сегодня, ничем не блокировано:</w:t>
      </w:r>
      <w:r>
        <w:rPr>
          <w:color w:val="0B0B0B"/>
        </w:rPr>
        <w:t xml:space="preserve"> оценка рамки, обратный стресс на оставшиеся метрики, запрос по агрегированию ACARI/ALRI, инструмент зонирования — и меры, которые ждут только Sabila.</w:t>
      </w:r>
    </w:p>
    <w:p>
      <w:pPr>
        <w:pStyle w:val="Heading2"/>
      </w:pPr>
      <w:r>
        <w:t>Запросы наружу</w:t>
      </w:r>
    </w:p>
    <w:p>
      <w:pPr>
        <w:jc w:val="both"/>
      </w:pPr>
      <w:r>
        <w:rPr>
          <w:color w:val="0B0B0B"/>
        </w:rPr>
        <w:t xml:space="preserve">Главное узкое место: </w:t>
      </w:r>
      <w:r>
        <w:rPr>
          <w:b/>
          <w:color w:val="0B0B0B"/>
        </w:rPr>
        <w:t>четыре запроса из шести адресованы владельцам, имена которых в контуре не установлены.</w:t>
      </w:r>
      <w:r>
        <w:rPr>
          <w:color w:val="0B0B0B"/>
        </w:rPr>
        <w:t xml:space="preserve"> Это первое, что нужно снять — у них нет адресата, а не исполнителя.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Кому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блокирует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В56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Какой собственный капитал предусмотрен для метрики топ-20 — E11 (442 346) или E52 (550 245)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владелец сводного отчёта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записку v0.6 целиком</w:t>
            </w:r>
            <w:r>
              <w:rPr>
                <w:color w:val="0B0B0B"/>
              </w:rPr>
              <w:t>: без ответа нельзя сказать ни что лимит нарушен, ни что нет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В42 + Д15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Формула CoR: числитель, знаменатель, аннуализация. Что написано в заголовке строки CoR на листе </w:t>
            </w:r>
            <w:r>
              <w:rPr>
                <w:rFonts w:ascii="Consolas" w:hAnsi="Consolas"/>
                <w:color w:val="0B0B0B"/>
                <w:sz w:val="19"/>
              </w:rPr>
              <w:t>Monthly</w:t>
            </w:r>
            <w:r>
              <w:rPr>
                <w:color w:val="0B0B0B"/>
              </w:rPr>
              <w:t xml:space="preserve"> и есть ли за ней формула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владелец расчёта CoR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разметку обеих метрик CoR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В53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Лимит CoR по МСБ: 3,5 % (лист 50-1) или 3,3 % (лист 50-2)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владелец сводного отчёта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какое число выносилось на УО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В54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Лимит HLA: 20 % (форма), 25 % (записка) или 25 % (граница красной зоны)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владелец сводного отчёта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запас по HLA недоказуем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В55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Утверждён ли способ агрегирования ACARI и ALRI как среднее трёх коэффициентов и рассматривался ли эффект масштаба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владелец Методики агрегированных уровней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оценку рамки по двум метрикам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Д-21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Доли якорных продуктов в портфеле и в процентном доходе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подразделение управленческой отчётности — через Дамира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приоритизацию частоты наблюдения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Отдельно, не запрос, а сообщение о дефекте: </w:t>
      </w:r>
      <w:r>
        <w:rPr>
          <w:b/>
          <w:color w:val="0B0B0B"/>
        </w:rPr>
        <w:t>четыре ячейки действующего отчёта возвращают `#VALUE!`</w:t>
      </w:r>
      <w:r>
        <w:rPr>
          <w:color w:val="0B0B0B"/>
        </w:rPr>
        <w:t xml:space="preserve"> (запас и сумма запаса по k1 и k1-2). Лимит разбирается обрезкой текстовой строки и ломается на первой десятичной запятой. Отчёт в таком виде выносится на УО.</w:t>
      </w:r>
    </w:p>
    <w:p>
      <w:pPr>
        <w:pStyle w:val="Heading2"/>
      </w:pPr>
      <w:r>
        <w:t>Решения, которые нужны от руководства</w:t>
      </w:r>
    </w:p>
    <w:p>
      <w:pPr>
        <w:pStyle w:val="ListNumber"/>
      </w:pPr>
      <w:r>
        <w:rPr>
          <w:b/>
          <w:color w:val="0B0B0B"/>
        </w:rPr>
        <w:t>Знаменатель топ-20 и, как следствие, уровень.</w:t>
      </w:r>
      <w:r>
        <w:rPr>
          <w:color w:val="0B0B0B"/>
        </w:rPr>
        <w:t xml:space="preserve"> Вариантов три, а не два: оставить 95 %</w:t>
      </w:r>
    </w:p>
    <w:p>
      <w:pPr>
        <w:jc w:val="both"/>
      </w:pPr>
      <w:r>
        <w:rPr>
          <w:color w:val="0B0B0B"/>
        </w:rPr>
        <w:t>и признать нарушение; пересчитать до 108,63 % по смене базы капитала; привести знаменатель к тому, которым пользуется остальной отчёт, — тогда уровень вышел бы 118,17 %.</w:t>
      </w:r>
    </w:p>
    <w:p>
      <w:pPr>
        <w:pStyle w:val="ListNumber"/>
      </w:pPr>
      <w:r>
        <w:rPr>
          <w:b/>
          <w:color w:val="0B0B0B"/>
        </w:rPr>
        <w:t>Смысл числа 95.</w:t>
      </w:r>
      <w:r>
        <w:rPr>
          <w:color w:val="0B0B0B"/>
        </w:rPr>
        <w:t xml:space="preserve"> При лестничной разметке уровень 95 % выполняет роль риск-ёмкости,</w:t>
      </w:r>
    </w:p>
    <w:p>
      <w:pPr>
        <w:jc w:val="both"/>
      </w:pPr>
      <w:r>
        <w:rPr>
          <w:color w:val="0B0B0B"/>
        </w:rPr>
        <w:t>а уровнем риск-аппетита становится граница зелёной зоны. Это смена смысла утверждённого числа, и принимает её УО, а не БРМ.</w:t>
      </w:r>
    </w:p>
    <w:p>
      <w:pPr>
        <w:pStyle w:val="ListNumber"/>
      </w:pPr>
      <w:r>
        <w:rPr>
          <w:b/>
          <w:color w:val="0B0B0B"/>
        </w:rPr>
        <w:t>Пивот, достройка или актуализация.</w:t>
      </w:r>
      <w:r>
        <w:rPr>
          <w:color w:val="0B0B0B"/>
        </w:rPr>
        <w:t xml:space="preserve"> Сегодняшняя оценка, которую надо будет подтвердить</w:t>
      </w:r>
    </w:p>
    <w:p>
      <w:pPr>
        <w:jc w:val="both"/>
      </w:pPr>
      <w:r>
        <w:rPr>
          <w:color w:val="0B0B0B"/>
        </w:rPr>
        <w:t xml:space="preserve">или снять: наиболее вероятна </w:t>
      </w:r>
      <w:r>
        <w:rPr>
          <w:b/>
          <w:color w:val="0B0B0B"/>
        </w:rPr>
        <w:t>достройка</w:t>
      </w:r>
      <w:r>
        <w:rPr>
          <w:color w:val="0B0B0B"/>
        </w:rPr>
        <w:t xml:space="preserve"> — шесть позиций рамки из двенадцати отсутствуют (риск-ёмкость, заявление как документ, индикаторы раннего предупреждения, протокол эскалации, каскадирование, обратное стресс-тестирование), и это не дефекты чисел, а отсутствующие части конструкции.</w:t>
      </w:r>
    </w:p>
    <w:p>
      <w:pPr>
        <w:pStyle w:val="Heading2"/>
      </w:pPr>
      <w:r>
        <w:t>Чего этот пакет не даст</w:t>
      </w:r>
    </w:p>
    <w:p>
      <w:pPr>
        <w:jc w:val="both"/>
      </w:pPr>
      <w:r>
        <w:rPr>
          <w:color w:val="0B0B0B"/>
        </w:rPr>
        <w:t>Независимой оценки — рамку оценивает подразделение, которое её ведёт; компенсируется тем, что каждое утверждение о дефекте опирается на формулу или ячейку первоисточника. Правильности уровней — для этого нужна риск-ёмкость, которой нет. Калибровки порогов на исходах — за 36 месяцев одно превышение лимита и ни одного признанного реализовавшегося риска; доказуема только частота срабатывания, не точность.</w:t>
      </w:r>
    </w:p>
    <w:p>
      <w:pPr>
        <w:jc w:val="both"/>
      </w:pPr>
      <w:r>
        <w:rPr>
          <w:b/>
          <w:color w:val="0B0B0B"/>
        </w:rPr>
        <w:t>Одной строкой: всё упирается в В56.</w:t>
      </w:r>
      <w:r>
        <w:rPr>
          <w:color w:val="0B0B0B"/>
        </w:rPr>
        <w:t xml:space="preserve"> Один вопрос владельцу сводного отчёта снимает блокировку с записки и определяет, какой из трёх вариантов уровня выносить на комитет.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