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Вставка в записку: разметка всех двенадцати метрик</w:t>
      </w:r>
    </w:p>
    <w:p>
      <w:pPr>
        <w:jc w:val="both"/>
      </w:pPr>
      <w:r>
        <w:rPr>
          <w:color w:val="0B0B0B"/>
        </w:rPr>
        <w:t xml:space="preserve">Готовый раздел для записки v1.1. Ставится </w:t>
      </w:r>
      <w:r>
        <w:rPr>
          <w:b/>
          <w:color w:val="0B0B0B"/>
        </w:rPr>
        <w:t>после раздела о применимости подхода к другим показателям</w:t>
      </w:r>
      <w:r>
        <w:rPr>
          <w:color w:val="0B0B0B"/>
        </w:rPr>
        <w:t xml:space="preserve"> и заменяет собой формулировку «параметры зон и триггеров должны определяться с учётом характеристик соответствующих рядов» — она откладывает то, что уже посчитано.</w:t>
      </w:r>
    </w:p>
    <w:p>
      <w:pPr>
        <w:jc w:val="both"/>
      </w:pPr>
      <w:r>
        <w:rPr>
          <w:color w:val="0B0B0B"/>
        </w:rPr>
        <w:t xml:space="preserve">Числа воспроизводятся прогоном </w:t>
      </w:r>
      <w:r>
        <w:rPr>
          <w:rFonts w:ascii="Consolas" w:hAnsi="Consolas"/>
          <w:color w:val="0B0B0B"/>
          <w:sz w:val="19"/>
        </w:rPr>
        <w:t>calib/zones_all12.py</w:t>
      </w:r>
      <w:r>
        <w:rPr>
          <w:color w:val="0B0B0B"/>
        </w:rPr>
        <w:t xml:space="preserve">; выгрузка — </w:t>
      </w:r>
      <w:r>
        <w:rPr>
          <w:rFonts w:ascii="Consolas" w:hAnsi="Consolas"/>
          <w:color w:val="0B0B0B"/>
          <w:sz w:val="19"/>
        </w:rPr>
        <w:t>data/zones_all12.csv</w:t>
      </w:r>
      <w:r>
        <w:rPr>
          <w:color w:val="0B0B0B"/>
        </w:rPr>
        <w:t>.</w:t>
      </w:r>
    </w:p>
    <w:p>
      <w:pPr>
        <w:pStyle w:val="Heading2"/>
      </w:pPr>
      <w:r>
        <w:t>N. Разметка по всем двенадцати показателям</w:t>
      </w:r>
    </w:p>
    <w:p>
      <w:pPr>
        <w:jc w:val="both"/>
      </w:pPr>
      <w:r>
        <w:rPr>
          <w:color w:val="0B0B0B"/>
        </w:rPr>
        <w:t>Требование п. 18 Правил № 86 относится ко всем показателям риск-аппетита, а не к одному. Ниже разметка применена ко всем двенадцати кредитным метрикам. Границы посчитаны той же формулой запаса времени; уровень по топ-20 взят пересчитанный.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Факт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σ_Δ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Граница зелёной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Граница жёлтой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Зона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Топ-20 / СК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108,63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101,50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4,067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98,21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103,42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жёлтая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CoR КБ/ПБ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3,00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−0,27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1,282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−0,29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1,36</w:t>
            </w:r>
          </w:p>
        </w:tc>
        <w:tc>
          <w:tcPr>
            <w:tcW w:type="dxa" w:w="1234"/>
          </w:tcPr>
          <w:p>
            <w:r>
              <w:rPr>
                <w:b/>
                <w:color w:val="0B0B0B"/>
              </w:rPr>
              <w:t>жёлтая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CoR МСБ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3,50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0,27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0,662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1,80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2,65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EL — необеспеченные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7,57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0,127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9,68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9,84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5,01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6,74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PD — необеспеченные, наличные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11,05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0,145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14,63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14,81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10,96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0,123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14,68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14,84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PD — необеспеченные, товарные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10,59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0,101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14,74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14,87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2,76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0,080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8,79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8,90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EL — прочие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2,47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0,085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9,78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9,89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14,00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3,65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0,104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13,73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13,87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234"/>
          </w:tcPr>
          <w:p>
            <w:r>
              <w:rPr>
                <w:color w:val="0B0B0B"/>
              </w:rPr>
              <w:t>EL — обеспеченные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1,64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0,052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6,93</w:t>
            </w:r>
          </w:p>
        </w:tc>
        <w:tc>
          <w:tcPr>
            <w:tcW w:type="dxa" w:w="1234"/>
          </w:tcPr>
          <w:p>
            <w:r>
              <w:rPr>
                <w:color w:val="0B0B0B"/>
              </w:rPr>
              <w:t>зелёная</w:t>
            </w:r>
          </w:p>
        </w:tc>
      </w:tr>
    </w:tbl>
    <w:p/>
    <w:p>
      <w:pPr>
        <w:pStyle w:val="Heading3"/>
      </w:pPr>
      <w:r>
        <w:t>N.1 Одинаково ли осмысленна зона на всех двенадцати</w:t>
      </w:r>
    </w:p>
    <w:p>
      <w:pPr>
        <w:jc w:val="both"/>
      </w:pPr>
      <w:r>
        <w:rPr>
          <w:color w:val="0B0B0B"/>
        </w:rPr>
        <w:t>Нет, и это надо сказать прямо, иначе таблица выше создаёт ложное впечатление, будто по десяти показателям всё благополучно, а по двум требуется внимание.</w:t>
      </w:r>
    </w:p>
    <w:p>
      <w:pPr>
        <w:jc w:val="both"/>
      </w:pPr>
      <w:r>
        <w:rPr>
          <w:color w:val="0B0B0B"/>
        </w:rPr>
        <w:t>Диагностика — расстояние до уровня в единицах собственной волатильности показателя:</w:t>
      </w:r>
    </w:p>
    <w:p>
      <w:pPr>
        <w:ind w:left="480"/>
      </w:pPr>
      <w:r>
        <w:rPr>
          <w:b/>
          <w:i/>
          <w:color w:val="5A5A5A"/>
        </w:rPr>
        <w:t>D = (уровень − факт) / σ_Δ</w:t>
      </w:r>
    </w:p>
    <w:p>
      <w:pPr>
        <w:jc w:val="both"/>
      </w:pPr>
      <w:r>
        <w:rPr>
          <w:color w:val="0B0B0B"/>
        </w:rPr>
        <w:t xml:space="preserve">и время, за которое показатель физически дойдёт до уровня при такой волатильности. Оно получается обращением той же формулы запаса времени: </w:t>
      </w:r>
      <w:r>
        <w:rPr>
          <w:b/>
          <w:color w:val="0B0B0B"/>
        </w:rPr>
        <w:t>T\* = (D / z)²</w:t>
      </w:r>
      <w:r>
        <w:rPr>
          <w:color w:val="0B0B0B"/>
        </w:rPr>
        <w:t xml:space="preserve"> месяцев.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D, σ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T\* — время до уровня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Топ-20 / СК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1,8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2 месяца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CoR КБ/ПБ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2,5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4 месяца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CoR МСБ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4,9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1 год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EL — необеспеченные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19,2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19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19,9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20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PD — необеспеченные, наличные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27,3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38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32,7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54 года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PD — необеспеченные, товарные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43,7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97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77,9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308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EL — прочие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88,3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395 лет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99,4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502 года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EL — обеспеченные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103,9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548 лет</w:t>
            </w:r>
          </w:p>
        </w:tc>
      </w:tr>
    </w:tbl>
    <w:p/>
    <w:p>
      <w:pPr>
        <w:jc w:val="both"/>
      </w:pPr>
      <w:r>
        <w:rPr>
          <w:b/>
          <w:color w:val="0B0B0B"/>
        </w:rPr>
        <w:t>Граница между группами лежит в самих данных, а не назначена нами.</w:t>
      </w:r>
      <w:r>
        <w:rPr>
          <w:color w:val="0B0B0B"/>
        </w:rPr>
        <w:t xml:space="preserve"> Три показателя находятся в диапазоне 1,8–4,9 σ; следующий — на 19,2 σ. Между ними разрыв более чем в четыре раза, и ни одного наблюдения в промежутке.</w:t>
      </w:r>
    </w:p>
    <w:p>
      <w:pPr>
        <w:jc w:val="both"/>
      </w:pPr>
      <w:r>
        <w:rPr>
          <w:color w:val="0B0B0B"/>
        </w:rPr>
        <w:t>Порог «свыше 15–20 σ зонирование бессмысленно» применяется как диагностический шаг перед разметкой и назначен до получения этих чисел.</w:t>
      </w:r>
    </w:p>
    <w:p>
      <w:pPr>
        <w:pStyle w:val="Heading3"/>
      </w:pPr>
      <w:r>
        <w:t>N.2 Три класса показателей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Показатели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с зоной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A. Зона работает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топ-20, CoR КБ/ПБ, CoR МСБ — </w:t>
            </w:r>
            <w:r>
              <w:rPr>
                <w:b/>
                <w:color w:val="0B0B0B"/>
              </w:rPr>
              <w:t>3 из 12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показатель в досягаемости уровня; зона предупреждает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B. Зона пуста, но уровень достижим в стрессе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EL необеспеченные, PD обеспеченные, PD необеспеченные (все три) — </w:t>
            </w:r>
            <w:r>
              <w:rPr>
                <w:b/>
                <w:color w:val="0B0B0B"/>
              </w:rPr>
              <w:t>5 из 12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утилизация 71–76 %; по запасу времени граница зелёной стоит на 96–98 % уровня и не сработает, но стресс-якорь даёт границу на уровне 77–95 % и она информативна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C. Показатель далеко при любом методе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EL общий, EL обеспеченные, EL прочие, PD прочие — </w:t>
            </w:r>
            <w:r>
              <w:rPr>
                <w:b/>
                <w:color w:val="0B0B0B"/>
              </w:rPr>
              <w:t>4 из 12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утилизация 23–31 %; ни запас времени, ни стресс-якорь границу не приближают</w:t>
            </w:r>
          </w:p>
        </w:tc>
      </w:tr>
    </w:tbl>
    <w:p/>
    <w:p>
      <w:pPr>
        <w:jc w:val="both"/>
      </w:pPr>
      <w:r>
        <w:rPr>
          <w:b/>
          <w:color w:val="0B0B0B"/>
        </w:rPr>
        <w:t>Для класса A</w:t>
      </w:r>
      <w:r>
        <w:rPr>
          <w:color w:val="0B0B0B"/>
        </w:rPr>
        <w:t xml:space="preserve"> разметка вводится как рабочий инструмент. По CoR обе метрики предварительны до подтверждения методологии расчёта ряда; по CoR КБ/ПБ граница зелёной уходит в отрицательную область — буфер на цикл больше самого уровня, — и там применяется эмпирический метод.</w:t>
      </w:r>
    </w:p>
    <w:p>
      <w:pPr>
        <w:jc w:val="both"/>
      </w:pPr>
      <w:r>
        <w:rPr>
          <w:b/>
          <w:color w:val="0B0B0B"/>
        </w:rPr>
        <w:t>Для класса B</w:t>
      </w:r>
      <w:r>
        <w:rPr>
          <w:color w:val="0B0B0B"/>
        </w:rPr>
        <w:t xml:space="preserve"> зона по запасу времени формально строится, но срабатывать не будет. Рабочую границу даёт стресс-якорь: значение показателя в стрессовом сценарии, выраженное в долях уровня. По имеющимся расчётам это 77–95 % уровня против 96–98 % у границы по запасу времени.</w:t>
      </w:r>
    </w:p>
    <w:p>
      <w:pPr>
        <w:jc w:val="both"/>
      </w:pPr>
      <w:r>
        <w:rPr>
          <w:b/>
          <w:color w:val="0B0B0B"/>
        </w:rPr>
        <w:t>Для класса C</w:t>
      </w:r>
      <w:r>
        <w:rPr>
          <w:color w:val="0B0B0B"/>
        </w:rPr>
        <w:t xml:space="preserve"> зона строится формально и не несёт информации. </w:t>
      </w:r>
      <w:r>
        <w:rPr>
          <w:b/>
          <w:color w:val="0B0B0B"/>
        </w:rPr>
        <w:t>Вывод здесь не о методе, а об уровне:</w:t>
      </w:r>
      <w:r>
        <w:rPr>
          <w:color w:val="0B0B0B"/>
        </w:rPr>
        <w:t xml:space="preserve"> показатель, находящийся в 78–104 σ от своего уровня, этим уровнем не ограничен. Целесообразно вынести пересмотр уровней по этим четырём показателям отдельным вопросом.</w:t>
      </w:r>
    </w:p>
    <w:p>
      <w:pPr>
        <w:pStyle w:val="Heading3"/>
      </w:pPr>
      <w:r>
        <w:t>N.3 Возражение против этого раздела, и его надо произнести</w:t>
      </w:r>
    </w:p>
    <w:p>
      <w:pPr>
        <w:jc w:val="both"/>
      </w:pPr>
      <w:r>
        <w:rPr>
          <w:color w:val="0B0B0B"/>
        </w:rPr>
        <w:t>Записка просит перенести один уровень вверх и одновременно сообщает, что четыре других уровня не ограничивают свои показатели. Асимметрию заметят: получается, что послабление предлагается там, где оно нужно нам, а ужесточение — в общем виде и без конкретики.</w:t>
      </w:r>
    </w:p>
    <w:p>
      <w:pPr>
        <w:jc w:val="both"/>
      </w:pPr>
      <w:r>
        <w:rPr>
          <w:b/>
          <w:color w:val="0B0B0B"/>
        </w:rPr>
        <w:t>Ответ по существу.</w:t>
      </w:r>
      <w:r>
        <w:rPr>
          <w:color w:val="0B0B0B"/>
        </w:rPr>
        <w:t xml:space="preserve"> Направление выводов противоположно удобству: указание на то, что четыре уровня не связывают, — это приглашение их </w:t>
      </w:r>
      <w:r>
        <w:rPr>
          <w:b/>
          <w:color w:val="0B0B0B"/>
        </w:rPr>
        <w:t>ужесточить</w:t>
      </w:r>
      <w:r>
        <w:rPr>
          <w:color w:val="0B0B0B"/>
        </w:rPr>
        <w:t>, а не ослабить. Записка, сообщающая и то и другое, защищена лучше, чем сообщающая только первое. Умолчать об этом нельзя: таблица разметки по двенадцати показателям всё равно будет построена, и вопрос «почему по десяти из них зона никогда не загорится» возникнет у первого же читателя.</w:t>
      </w:r>
    </w:p>
    <w:p>
      <w:pPr>
        <w:pStyle w:val="Heading3"/>
      </w:pPr>
      <w:r>
        <w:t>N.4 Оговорка, без которой числа вводят в заблуждение</w:t>
      </w:r>
    </w:p>
    <w:p>
      <w:pPr>
        <w:jc w:val="both"/>
      </w:pPr>
      <w:r>
        <w:rPr>
          <w:color w:val="0B0B0B"/>
        </w:rPr>
        <w:t xml:space="preserve">Время T\* посчитано на волатильности окна август 2023 — июль 2026. Окно благополучное: показатели EL и PD снижаются три года подряд. «548 лет» означает </w:t>
      </w:r>
      <w:r>
        <w:rPr>
          <w:b/>
          <w:color w:val="0B0B0B"/>
        </w:rPr>
        <w:t>«при такой же волатильности, как последние три года»</w:t>
      </w:r>
      <w:r>
        <w:rPr>
          <w:color w:val="0B0B0B"/>
        </w:rPr>
        <w:t>, а не «никогда». Структурный сдвиг меняет σ, и вместе с ней меняются все выводы этого раздела.</w:t>
      </w:r>
    </w:p>
    <w:p>
      <w:pPr>
        <w:jc w:val="both"/>
      </w:pPr>
      <w:r>
        <w:rPr>
          <w:color w:val="0B0B0B"/>
        </w:rPr>
        <w:t>Именно поэтому класс C — вопрос к уровню, а не основание считать соответствующие портфели безрисковыми.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