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СЛУЖЕБНАЯ ЗАПИСКА</w:t>
      </w:r>
    </w:p>
    <w:p>
      <w:pPr>
        <w:spacing w:after="200"/>
        <w:jc w:val="center"/>
      </w:pPr>
      <w:r>
        <w:rPr>
          <w:sz w:val="24"/>
          <w:szCs w:val="24"/>
        </w:rPr>
        <w:t xml:space="preserve">О смягчении условия оздоровления займов из 3-й корзины во 2-ю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Дамир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Блок управления рисками (Мирас)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27.08.2026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Предмет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Правка одного предложения Приложения 4 к Методике расчёта провизий (резервов) в соответствии с МСФО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1. О чём решение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Периметр.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Розничные займы, находящиеся в 3-й корзине (Stage 3), у которых просрочка на отчётные даты близка к нулю: заёмщик платит, но оздоровление не наступает из-за строгости внутреннего правила.</w:t>
      </w:r>
    </w:p>
    <w:p>
      <w:pPr>
        <w:spacing w:after="120" w:line="264"/>
      </w:pPr>
      <w:r>
        <w:rPr>
          <w:sz w:val="20"/>
          <w:szCs w:val="20"/>
        </w:rPr>
        <w:t xml:space="preserve">Действующее правило — Приложение 4 к Методике, этап 1 оздоровления: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«…обесцененные займы (корзина 3) переходят в категорию (корзина 2)… при условии погашения контрагентом задолженности, которое приводит к снижению валовой балансовой стоимости… до уровня равной или ниже суммы задолженности на момент перехода… и в случае отсутствия на дату оценки событий, являющихся объективными подтверждениями обесценения, т.е. не имеют просрочек по платежам 6 (шесть) месяцев подряд»</w:t>
      </w:r>
    </w:p>
    <w:p>
      <w:pPr>
        <w:spacing w:after="120" w:line="264"/>
      </w:pPr>
      <w:r>
        <w:rPr>
          <w:sz w:val="20"/>
          <w:szCs w:val="20"/>
        </w:rPr>
        <w:t xml:space="preserve">Предлагаемая правка — в выделенной части: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«…т.е. не имеют просрочек более 15 дней по платежам 6 (шесть) месяцев подряд»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Правится одно 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Остальные условия перехода не затрагиваются.</w:t>
      </w:r>
    </w:p>
    <w:p>
      <w:pPr>
        <w:pStyle w:val="Heading1"/>
        <w:spacing w:after="160" w:before="320"/>
      </w:pPr>
      <w:r>
        <w:t xml:space="preserve">2. Прямой ответ: внешнюю норму правка не нарушает</w:t>
      </w:r>
    </w:p>
    <w:p>
      <w:pPr>
        <w:spacing w:after="120" w:line="264"/>
      </w:pPr>
      <w:r>
        <w:rPr>
          <w:sz w:val="20"/>
          <w:szCs w:val="20"/>
        </w:rPr>
        <w:t xml:space="preserve">Три звена, каждое на тексте документов.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1. Норма отдаёт определение признака нам.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Правила № 61 п. 15 абзац первый требует «отсутствия на дату оценки событий, являющихся объективными подтверждениями обесценения на основе признаков обесценения финансового актива, установленных Методикой расчёта провизий (резервов)».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Условие точечное — на дату оценки.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Никакого шестимесячного окна по признакам норма не требует.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2. Наш признак — 90 дней, а не ноль.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Приложение 4, п. 5: займы на коллективной основе считаются обесцененными при просрочке более 90 дней; реструктуризации в связи с ухудшением финансового состояния; смерти заёмщика; нахождении в местах лишения свободы; банкротстве. При просрочке до 15 дней ни один признак не выполняется.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3. Шесть месяцев нулевой просрочки — наша собственная надстройка.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Методике она введена через «т.е.» как расшифровка условия об отсутствии признаков. Норма такой расшифровки не содержит и не требует.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Вывод: и действующая, и смягчённая редакция удовлетворяют норме. Разница только в том, насколько сильно Банк ужесточает себя сверх неё.</w:t>
            </w:r>
          </w:p>
        </w:tc>
      </w:tr>
    </w:tbl>
    <w:p>
      <w:pPr>
        <w:pStyle w:val="Heading1"/>
        <w:spacing w:after="160" w:before="320"/>
      </w:pPr>
      <w:r>
        <w:t xml:space="preserve">3. Довод сильнее, чем «не нарушает»: правка приближает нас к тексту нормы</w:t>
      </w:r>
    </w:p>
    <w:p>
      <w:pPr>
        <w:spacing w:after="120" w:line="264"/>
      </w:pPr>
      <w:r>
        <w:rPr>
          <w:sz w:val="20"/>
          <w:szCs w:val="20"/>
        </w:rPr>
        <w:t xml:space="preserve">Шестимесячный период в нашей Методике по смыслу отвечает п. 15 подпункту 1 Правил № 61. А там период определён как тот,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«в течение которого не наблюдается ухудшение финансового состояния заемщика»</w:t>
      </w:r>
    </w:p>
    <w:p>
      <w:pPr>
        <w:spacing w:after="120" w:line="264"/>
      </w:pPr>
      <w:r>
        <w:rPr>
          <w:sz w:val="20"/>
          <w:szCs w:val="20"/>
        </w:rPr>
        <w:t xml:space="preserve">«Ухудшение финансового состояния» и «нулевая просрочка» — не одно и то же. Действующая редакция подменяет первое вторым и получается строже нормы.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Более того, собственный маркер ухудшения финансового состояния у нас — 30 дней: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Приложение 4 п. 5 признак 2 говорит о реструктуризации «в том числе при наличии просроченных обязательств сроком тридцать календарных дней и более».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Допуск в 15 дней лежит ниже нашего же маркера ухудшения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 потому формулировке нормы соответствует ближе, чем действующая нулевая планка. Это основной довод для предъявления, и он текстовый, а не риторический.</w:t>
      </w:r>
    </w:p>
    <w:p>
      <w:pPr>
        <w:pStyle w:val="Heading1"/>
        <w:spacing w:after="160" w:before="320"/>
      </w:pPr>
      <w:r>
        <w:t xml:space="preserve">4. Три условия, без которых правку вносить нельзя</w:t>
      </w:r>
    </w:p>
    <w:p>
      <w:pPr>
        <w:pStyle w:val="Heading2"/>
        <w:spacing w:after="120" w:before="240"/>
      </w:pPr>
      <w:r>
        <w:t xml:space="preserve">4.1. Формулировка должна описывать то, что система проверяет</w:t>
      </w:r>
    </w:p>
    <w:p>
      <w:pPr>
        <w:spacing w:after="120" w:line="264"/>
      </w:pPr>
      <w:r>
        <w:rPr>
          <w:sz w:val="20"/>
          <w:szCs w:val="20"/>
        </w:rPr>
        <w:t xml:space="preserve">Данные о просрочке хранятся срезами только на 1-е число месяца. Между срезами фактическая просрочка не наблюдается: заём, показавший 6 дней на срезе, мог в течение месяца иметь просрочку до 36–45 дней.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Записав «не имеют просрочек более 15 дней 6 месяцев подряд», мы запишем в Методику утверждение, которое системой не проверяется. Это прямое нарушение п. 25 Правил № 61: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перечень в Методике не должен быть недостоверным.</w:t>
      </w:r>
    </w:p>
    <w:p>
      <w:pPr>
        <w:spacing w:after="120" w:line="264"/>
      </w:pPr>
      <w:r>
        <w:rPr>
          <w:sz w:val="20"/>
          <w:szCs w:val="20"/>
        </w:rPr>
        <w:t xml:space="preserve">Две допустимые редакции: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3300"/>
      </w:tblGrid>
      <w:tr>
        <w:trPr>
          <w:tblHeader/>
        </w:trPr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Формулировка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Условие применимости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A
доступна сейчас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«…т.е. на каждую отчётную дату в течение 6 (шести) месяцев подряд просрочка по платежам не превышает 15 календарных дней»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ничего не требуется, описывает текущую возможность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B
предпочтительна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«…т.е. ни один плановый платёж в течение 6 (шести) месяцев подряд не был просрочен более чем на 15 календарных дней»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требует данных о фактических датах платежей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Редакция B — это то, что имеется в виду по существу. Редакция A — честная запись того, что мы умеем проверять сегодня. Выбор между ними определяется тем, доступна ли выгрузка графика и фактических платежей; запрос подготовлен.</w:t>
      </w:r>
    </w:p>
    <w:p>
      <w:pPr>
        <w:pStyle w:val="Heading2"/>
        <w:spacing w:after="120" w:before="240"/>
      </w:pPr>
      <w:r>
        <w:t xml:space="preserve">4.2. Шесть месяцев доступны не всем и не безусловно</w:t>
      </w:r>
    </w:p>
    <w:p>
      <w:pPr>
        <w:spacing w:after="120" w:line="264"/>
      </w:pPr>
      <w:r>
        <w:rPr>
          <w:sz w:val="20"/>
          <w:szCs w:val="20"/>
        </w:rPr>
        <w:t xml:space="preserve">П. 15 подпункт 1 Правил № 61 допускает шестимесячный период только: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займам, выданным физическим лицам;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оцениваемым на коллективной основе;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при наличии исторической статистики погашения реструктуризированных займов физлиц, свидетельствующей о «стабилизации динамики выхода на просрочку, начиная с седьмого платежа».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Без этой статистики норма даёт 12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Статистика у Банка не собрана; спецификация исследования подготовлена и приложена отдельным документом.</w:t>
      </w:r>
    </w:p>
    <w:p>
      <w:pPr>
        <w:spacing w:after="120" w:line="264"/>
      </w:pPr>
      <w:r>
        <w:rPr>
          <w:sz w:val="20"/>
          <w:szCs w:val="20"/>
        </w:rPr>
        <w:t xml:space="preserve">Это ограничение действует и сейчас, независимо от правки: действующая шестимесячная редакция опирается на ту же поблажку.</w:t>
      </w:r>
    </w:p>
    <w:p>
      <w:pPr>
        <w:pStyle w:val="Heading2"/>
        <w:spacing w:after="120" w:before="240"/>
      </w:pPr>
      <w:r>
        <w:t xml:space="preserve">4.3. Критерий должен быть в Методике до применения, а не после</w:t>
      </w:r>
    </w:p>
    <w:p>
      <w:pPr>
        <w:spacing w:after="120" w:line="264"/>
      </w:pPr>
      <w:r>
        <w:rPr>
          <w:sz w:val="20"/>
          <w:szCs w:val="20"/>
        </w:rPr>
        <w:t xml:space="preserve">П. 25 Правил № 61 подпункт 7 требует, чтобы Методика содержала критерии определения значительного увеличения кредитного риска «при его увеличении и (или) уменьшении», и закрывается фразой: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«Не допускается определение в Методике расчёта провизий (резервов) неполных перечней и (или) информации»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Применение смягчённого критерия до внесения его в Методику — процедурное нарушение, проверяемое одним взглядом в документ.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возникает автоматически и висит на том, кто применил.</w:t>
      </w:r>
    </w:p>
    <w:p>
      <w:pPr>
        <w:pStyle w:val="Heading1"/>
        <w:spacing w:after="160" w:before="320"/>
      </w:pPr>
      <w:r>
        <w:t xml:space="preserve">5. Чего правка не решает — и об этом лучше сказать самим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 Методике отсутствует требование нормы о периоде погашения.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П. 15 абзац первый Правил № 61 требует «погашения контрагентом задолженности за период не менее 12 (двенадцати) месяцев». Оба этапа нашего Приложения 4 сформулированы как «при условии погашения контрагентом задолженности, которое приводит к снижению валовой балансовой стоимости…» — без периода.</w:t>
      </w:r>
    </w:p>
    <w:p>
      <w:pPr>
        <w:spacing w:after="120" w:line="264"/>
      </w:pPr>
      <w:r>
        <w:rPr>
          <w:sz w:val="20"/>
          <w:szCs w:val="20"/>
        </w:rPr>
        <w:t xml:space="preserve">Шесть месяцев стоят у нас в другом условии — об отсутствии признаков обесценения. Это разные конструкции, и одна не замещает другую.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Расхождение существует независимо от правки и не создаётся ею.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Но оно становится заметнее: сегодня требование нулевой просрочки в течение шести месяцев внешне выглядит как период наблюдения, и проверяющий может это зачесть. После смягчения такого впечатления не остаётся.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Рекомендация: вносить обе правки одним пересмотром Методики — и смягчение условия по просрочке, и приведение условия о периоде погашения к пункту 15. Отдельная правка только по просрочке оставляет открытым более существенный вопрос.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Дополнительно: действующая редакция Методики утверждена 21.02.2024, Правила № 61 — 29.09.2025. Приведение в соответствие требуется в любом случае; механизм предусмотрен пунктом 71 самой Методики.</w:t>
      </w:r>
    </w:p>
    <w:p>
      <w:pPr>
        <w:pStyle w:val="Heading1"/>
        <w:spacing w:after="160" w:before="320"/>
      </w:pPr>
      <w:r>
        <w:t xml:space="preserve">6. Что мы затрагиваем за пределами учёта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Доля займов 3-й стадии — показатель, по которому включается надзорный режим.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Постановление АРРФР № 119 от 07.08.2026, п. 7 подпункт 2: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ДС3 ≥ 10 % и КПП &lt; 40 % шесть последовательных месяцев — режим усиленного надзора; ДС3 ≥ 15 % и КПП &lt; 40 % — режим восстановления финансовой устойчивости</w:t>
      </w:r>
    </w:p>
    <w:p>
      <w:pPr>
        <w:spacing w:after="120" w:line="264"/>
      </w:pPr>
      <w:r>
        <w:rPr>
          <w:sz w:val="20"/>
          <w:szCs w:val="20"/>
        </w:rPr>
        <w:t xml:space="preserve">где ДС3 — доля кредитов 3 стадии в ссудном портфеле, КПП — покрытие их провизиями.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Оздоровление действует на обе составляющие условия в благоприятную сторону одновременно: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ДС3 снижается, КПП растёт, поскольку из 3-й корзины уходят наименее зарезервированные займы.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Это не довод против правки.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причина посчитать и раскрыть эффект до решения, а не после вопроса регулятора. Требуется: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фактические ДС3 и КПП за последние 6 отчётных месяцев;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их значения после применения смягчённого критерия;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расстояние до порогов 10 % / 15 % и 40 % — до и после;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эффект на неработающие займы и запас до лимита главы 11 Нормативов № 85.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Раскрывать отдельной строкой: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сколько ушло из 3-й корзины по новому правилу и сколько по фактическому улучшению качества портфеля. Это первый вопрос службы внутреннего аудита, и лучше ответить на него самим.</w:t>
      </w:r>
    </w:p>
    <w:p>
      <w:pPr>
        <w:pStyle w:val="Heading1"/>
        <w:spacing w:after="160" w:before="320"/>
      </w:pPr>
      <w:r>
        <w:t xml:space="preserve">7. Чего мы сегодня не знаем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Расчётов по портфелю не проводилось: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скрипты подготовлены, данные не поступали. В частности не известны: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сколько договоров и на какую сумму даёт смягчение;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какова у них фактическая просрочка между отчётными датами;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какая доля просрочки объясняется рассинхроном даты платежа и даты дохода, а не платёжным поведением;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возвращаются ли оздоровлённые по мягкому правилу в дефолт чаще, чем по строгому, и насколько.</w:t>
      </w:r>
    </w:p>
    <w:p>
      <w:pPr>
        <w:spacing w:after="120" w:line="264"/>
      </w:pPr>
      <w:r>
        <w:rPr>
          <w:sz w:val="20"/>
          <w:szCs w:val="20"/>
        </w:rPr>
        <w:t xml:space="preserve">Последний вопрос — единственный, который отвечает на «безопасно ли это», и его конструкция подготовлена.</w:t>
      </w:r>
    </w:p>
    <w:p>
      <w:pPr>
        <w:pStyle w:val="Heading1"/>
        <w:spacing w:after="160" w:before="320"/>
      </w:pPr>
      <w:r>
        <w:t xml:space="preserve">8. Что требуется от руководителя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7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Почему решает руководитель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Какую редакцию вносим — A (по отчётным датам) или B (по взносам)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B требует выгрузки платежей; это ресурс и срок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Вносить ли правку одним пересмотром с приведением условия о периоде к п. 15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шире исходного поручения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Утвердить критерии приемлемости до расчёта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 расчёта решение принимает правило, а не человек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Запуск исследования статистики под шестимесячный период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без него норма даёт 12 месяцев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и в какой срок вносит правку в Методику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применения, не после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Позиция БРМ.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Правка нормативно допустима и по формулировке ближе к тексту Правил № 61, чем действующая редакция. Вносить её следует одним пересмотром Методики вместе с приведением условия о периоде погашения к пункту 15, в редакции, описывающей то, что система фактически проверяет, и с расчётом эффекта на долю 3-й стадии и покрытие провизиями, выполненным до решения.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Нормативные положения выше прочитаны в оригинале и цитируются по номерам пунктов и статей. Там, где вывод является выбором между двумя чтениями нормы, это указано прямо. Данных по портфелю не поступало: эффект на долю 3-й стадии, покрытие провизиями и неработающие займы в настоящей записке не рассчитан.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2026-08-27T07:55:38.139Z</dcterms:created>
  <dcterms:modified xsi:type="dcterms:W3CDTF">2026-08-27T07:55:38.139Z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