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Риск-аппетит по кредитному риску: два этапа, сроки и распределение</w:t>
      </w:r>
    </w:p>
    <w:p>
      <w:pPr>
        <w:jc w:val="both"/>
      </w:pPr>
      <w:r>
        <w:rPr>
          <w:color w:val="0B0B0B"/>
        </w:rPr>
        <w:t xml:space="preserve">На 23.09.2026. Развёрнутая версия — </w:t>
      </w:r>
      <w:r>
        <w:rPr>
          <w:rFonts w:ascii="Consolas" w:hAnsi="Consolas"/>
          <w:color w:val="0B0B0B"/>
          <w:sz w:val="19"/>
        </w:rPr>
        <w:t>REVISION_RA.md</w:t>
      </w:r>
      <w:r>
        <w:rPr>
          <w:color w:val="0B0B0B"/>
        </w:rPr>
        <w:t>; здесь только то, что нужно, чтобы включиться или передать дальше.</w:t>
      </w:r>
    </w:p>
    <w:p>
      <w:pPr>
        <w:pStyle w:val="Heading2"/>
      </w:pPr>
      <w:r>
        <w:t>Разделение на два этапа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Что входит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Срок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Оформить сделанное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аналитическая записка по всей проделанной работе; шаблон мер реагирования с полным перебором случаев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до 30.09.2026 вместе с согласованием</w:t>
            </w:r>
            <w:r>
              <w:rPr>
                <w:color w:val="0B0B0B"/>
              </w:rPr>
              <w:t xml:space="preserve"> — то есть работа должна быть закончена за один-три дня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Исследование рамки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оценка системы риск-аппетита по международной практике, экономический капитал, стресс-тест, инструмент зонирования и ежегодная перекалибровка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начало октября</w:t>
            </w:r>
          </w:p>
        </w:tc>
      </w:tr>
    </w:tbl>
    <w:p/>
    <w:p>
      <w:pPr>
        <w:jc w:val="both"/>
      </w:pPr>
      <w:r>
        <w:rPr>
          <w:color w:val="0B0B0B"/>
        </w:rPr>
        <w:t>Этап 2 сознательно отложен: он отвечает на вопрос «объективна ли рамка», а этап 1 — на вопрос «оформлено ли то, что уже доказано». Второй вопрос имеет срок, первый нет.</w:t>
      </w:r>
    </w:p>
    <w:p>
      <w:pPr>
        <w:pStyle w:val="Heading2"/>
      </w:pPr>
      <w:r>
        <w:t>Что готово на сегодня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Дилеверабл этапа 1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Состояние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Аналитическая записка v0.7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черновик готов</w:t>
            </w:r>
            <w:r>
              <w:rPr>
                <w:color w:val="0B0B0B"/>
              </w:rPr>
              <w:t xml:space="preserve"> — </w:t>
            </w:r>
            <w:r>
              <w:rPr>
                <w:rFonts w:ascii="Consolas" w:hAnsi="Consolas"/>
                <w:color w:val="0B0B0B"/>
                <w:sz w:val="19"/>
              </w:rPr>
              <w:t>ZAPISKA_v0_7.md</w:t>
            </w:r>
            <w:r>
              <w:rPr>
                <w:color w:val="0B0B0B"/>
              </w:rPr>
              <w:t xml:space="preserve">, девять шагов сторилайна плюс карта источников. К ней — отдельный файл «Дополнение» по остальным одиннадцати метрикам: </w:t>
            </w:r>
            <w:r>
              <w:rPr>
                <w:rFonts w:ascii="Consolas" w:hAnsi="Consolas"/>
                <w:color w:val="0B0B0B"/>
                <w:sz w:val="19"/>
              </w:rPr>
              <w:t>DOPOLNENIE_zapiska.md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Шаблон мер реагирования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готов</w:t>
            </w:r>
            <w:r>
              <w:rPr>
                <w:color w:val="0B0B0B"/>
              </w:rPr>
              <w:t xml:space="preserve"> — 48 случаев, пять уровней, пять правил перехода, справочные пороги по двенадцати метрикам</w:t>
            </w:r>
          </w:p>
        </w:tc>
      </w:tr>
    </w:tbl>
    <w:p/>
    <w:p>
      <w:pPr>
        <w:jc w:val="both"/>
      </w:pPr>
      <w:r>
        <w:rPr>
          <w:color w:val="0B0B0B"/>
        </w:rPr>
        <w:t>Записка заменяет v0.5, которая считалась на квартальных рядах из девяти точек и в § 3 утверждала, что уровень по топ-20 нарушен. На месячных рядах из тридцати шести точек этот вывод не подтверждается.</w:t>
      </w:r>
    </w:p>
    <w:p>
      <w:pPr>
        <w:pStyle w:val="Heading2"/>
      </w:pPr>
      <w:r>
        <w:t>Кто делает записку</w:t>
      </w:r>
    </w:p>
    <w:p>
      <w:pPr>
        <w:jc w:val="both"/>
      </w:pPr>
      <w:r>
        <w:rPr>
          <w:b/>
          <w:color w:val="0B0B0B"/>
        </w:rPr>
        <w:t>Предложение: Ерлан — по согласованию с Айдаром.</w:t>
      </w:r>
      <w:r>
        <w:rPr>
          <w:color w:val="0B0B0B"/>
        </w:rPr>
        <w:t xml:space="preserve"> Айдар был на презентации перед Дамиром, знает, как шла работа, и может сверить нарратив; по оргструктуре задачи Ерлану идут через него.</w:t>
      </w:r>
    </w:p>
    <w:p>
      <w:pPr>
        <w:jc w:val="both"/>
      </w:pPr>
      <w:r>
        <w:rPr>
          <w:b/>
          <w:color w:val="0B0B0B"/>
        </w:rPr>
        <w:t>Возражение, которое надо снять до того, как задача уйдёт.</w:t>
      </w:r>
      <w:r>
        <w:rPr>
          <w:color w:val="0B0B0B"/>
        </w:rPr>
        <w:t xml:space="preserve"> Записку защищает тот, кто её подписывает. Она опирается примерно на сорок утверждений, каждое привязано к конкретной ячейке или формуле: первый же вопрос на согласовании — «откуда 442 346» — требует знать, что это ячейка E11 листа 50-1, почему она не E52 и что из этого следует. Человек, который этих ссылок не прослеживал, за один-три дня их не восстановит.</w:t>
      </w:r>
    </w:p>
    <w:p>
      <w:pPr>
        <w:jc w:val="both"/>
      </w:pPr>
      <w:r>
        <w:rPr>
          <w:b/>
          <w:color w:val="0B0B0B"/>
        </w:rPr>
        <w:t>Как снимается.</w:t>
      </w:r>
      <w:r>
        <w:rPr>
          <w:color w:val="0B0B0B"/>
        </w:rPr>
        <w:t xml:space="preserve"> Черновик отдаётся готовым, с проставленными источниками — в записке есть отдельное приложение «Карта источников», где против каждого числа стоит лист, ячейка или прогон. Работа Ерлана тогда — проверка, правка формулировок и принятие на себя, а не реконструкция. Это укладывается в срок; реконструкция — нет.</w:t>
      </w:r>
    </w:p>
    <w:p>
      <w:pPr>
        <w:pStyle w:val="Heading2"/>
      </w:pPr>
      <w:r>
        <w:t>Что снимает главную блокировку</w:t>
      </w:r>
    </w:p>
    <w:p>
      <w:pPr>
        <w:jc w:val="both"/>
      </w:pPr>
      <w:r>
        <w:rPr>
          <w:color w:val="0B0B0B"/>
        </w:rPr>
        <w:t xml:space="preserve">Записка считалась заблокированной вопросом о знаменателе топ-20. </w:t>
      </w:r>
      <w:r>
        <w:rPr>
          <w:b/>
          <w:color w:val="0B0B0B"/>
        </w:rPr>
        <w:t>Вопрос закрыт 17.09.2026:</w:t>
      </w:r>
      <w:r>
        <w:rPr>
          <w:color w:val="0B0B0B"/>
        </w:rPr>
        <w:t xml:space="preserve"> знаменатель — </w:t>
      </w:r>
      <w:r>
        <w:rPr>
          <w:b/>
          <w:color w:val="0B0B0B"/>
        </w:rPr>
        <w:t>балансовый собственный капитал</w:t>
      </w:r>
      <w:r>
        <w:rPr>
          <w:color w:val="0B0B0B"/>
        </w:rPr>
        <w:t>, выбор давний и сознательный. Вариант «перейти на регуляторный капитал» снят.</w:t>
      </w:r>
    </w:p>
    <w:p>
      <w:pPr>
        <w:jc w:val="both"/>
      </w:pPr>
      <w:r>
        <w:rPr>
          <w:color w:val="0B0B0B"/>
        </w:rPr>
        <w:t xml:space="preserve">Осталась одна развилка, и она выносится как развилка, а не как вывод: уровень </w:t>
      </w:r>
      <w:r>
        <w:rPr>
          <w:b/>
          <w:color w:val="0B0B0B"/>
        </w:rPr>
        <w:t>95 %</w:t>
      </w:r>
      <w:r>
        <w:rPr>
          <w:color w:val="0B0B0B"/>
        </w:rPr>
        <w:t xml:space="preserve"> на прежней базе или </w:t>
      </w:r>
      <w:r>
        <w:rPr>
          <w:b/>
          <w:color w:val="0B0B0B"/>
        </w:rPr>
        <w:t>108,63 %</w:t>
      </w:r>
      <w:r>
        <w:rPr>
          <w:color w:val="0B0B0B"/>
        </w:rPr>
        <w:t xml:space="preserve"> на новой. Отношение баз не постоянно (0,7791 → 0,8745 за 30 месяцев), поэтому пересчитанный уровень зависит от якоря; якорь задан правилом — датой перевода показателя, — и выбранный даёт наименьшее из возможных значений. На решение выносятся обе картины.</w:t>
      </w:r>
    </w:p>
    <w:p>
      <w:pPr>
        <w:pStyle w:val="Heading2"/>
      </w:pPr>
      <w:r>
        <w:t>Распределение по этапу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Кому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К какому сроку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Ерлан — через Айдара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проверить черновик записки по карте источников, поправить формулировки, принять на себя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до согласования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Айдар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согласовать передачу задачи; сверить нарратив с тем, что докладывалось Дамиру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сразу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Sabila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заполнить шаблон: 48 случаев, колонки «Мера», «Основание», «Ответственный», «Срок». Где процедуры нет — так и написать: это отдельный результат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до согласования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Мирас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отправить вопросы владельцам отчёта и расчёта; сопровождать согласование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сразу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Дамир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решение по этапу 2 и его срокам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после этапа 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Уполномоченный орган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знаменатель и уровень; смена смысла числа 95; N гистерезиса и порог панельного правила; утверждение мер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на комитете</w:t>
            </w:r>
          </w:p>
        </w:tc>
      </w:tr>
    </w:tbl>
    <w:p/>
    <w:p>
      <w:pPr>
        <w:pStyle w:val="Heading2"/>
      </w:pPr>
      <w:r>
        <w:t>Вопросы наружу</w:t>
      </w:r>
    </w:p>
    <w:p>
      <w:pPr>
        <w:jc w:val="both"/>
      </w:pPr>
      <w:r>
        <w:rPr>
          <w:b/>
          <w:color w:val="0B0B0B"/>
        </w:rPr>
        <w:t>Закрыты 17.09.2026 ответами автора:</w:t>
      </w:r>
      <w:r>
        <w:rPr>
          <w:color w:val="0B0B0B"/>
        </w:rPr>
        <w:t xml:space="preserve"> знаменатель топ-20 — балансовый капитал; лимит CoR по МСБ — 3,5 % (число 3,3 % на листе 50-2 является опечаткой листа).</w:t>
      </w:r>
    </w:p>
    <w:p>
      <w:pPr>
        <w:jc w:val="both"/>
      </w:pPr>
      <w:r>
        <w:rPr>
          <w:b/>
          <w:color w:val="0B0B0B"/>
        </w:rPr>
        <w:t>Сняты как вне периметра БРМ:</w:t>
      </w:r>
      <w:r>
        <w:rPr>
          <w:color w:val="0B0B0B"/>
        </w:rPr>
        <w:t xml:space="preserve"> вопросы по лимиту HLA и по способу агрегирования ACARI и ALRI. Эти метрики БРМ не считает; находки передаются владельцам как есть, без нашей интерпретации, и в записку по кредитному риску не выносятся.</w:t>
      </w:r>
    </w:p>
    <w:p>
      <w:pPr>
        <w:jc w:val="both"/>
      </w:pPr>
      <w:r>
        <w:rPr>
          <w:b/>
          <w:color w:val="0B0B0B"/>
        </w:rPr>
        <w:t>Остался один, и он единственный блокирующий: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Кому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Что блокирует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В42 + Д15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 xml:space="preserve">Формула расчёта CoR. Что написано в заголовке строки CoR на листе </w:t>
            </w:r>
            <w:r>
              <w:rPr>
                <w:rFonts w:ascii="Consolas" w:hAnsi="Consolas"/>
                <w:color w:val="0B0B0B"/>
                <w:sz w:val="19"/>
              </w:rPr>
              <w:t>Monthly</w:t>
            </w:r>
            <w:r>
              <w:rPr>
                <w:color w:val="0B0B0B"/>
              </w:rPr>
              <w:t xml:space="preserve"> и есть ли за ней формула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владелец расчёта CoR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окончательную разметку обеих метрик стоимости риска и разрез по мастер-шкале на этапе 2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Отдельно, не блокирует записку, но нужен для этапа 2: </w:t>
      </w:r>
      <w:r>
        <w:rPr>
          <w:b/>
          <w:color w:val="0B0B0B"/>
        </w:rPr>
        <w:t>Д-21</w:t>
      </w:r>
      <w:r>
        <w:rPr>
          <w:color w:val="0B0B0B"/>
        </w:rPr>
        <w:t xml:space="preserve"> — доли якорных продуктов в портфеле и в процентном доходе, через Дамира.</w:t>
      </w:r>
    </w:p>
    <w:p>
      <w:pPr>
        <w:pStyle w:val="Heading2"/>
      </w:pPr>
      <w:r>
        <w:t>Охват: что закрыто по данным</w:t>
      </w:r>
    </w:p>
    <w:p>
      <w:pPr>
        <w:jc w:val="both"/>
      </w:pPr>
      <w:r>
        <w:rPr>
          <w:b/>
          <w:color w:val="0B0B0B"/>
        </w:rPr>
        <w:t>Топ-20 — закрыт полностью.</w:t>
      </w:r>
      <w:r>
        <w:rPr>
          <w:color w:val="0B0B0B"/>
        </w:rPr>
        <w:t xml:space="preserve"> Вся история расчёта и все данные охвачены: ряд за 36 месяцев в обеих базах капитала, история уровня с 2016 года, дата и коэффициент перевода базы, границы зон, два триггера на движение, прогон машины мер назад по истории.</w:t>
      </w:r>
    </w:p>
    <w:p>
      <w:pPr>
        <w:jc w:val="both"/>
      </w:pPr>
      <w:r>
        <w:rPr>
          <w:b/>
          <w:color w:val="0B0B0B"/>
        </w:rPr>
        <w:t>Остальные одиннадцать — размечены по единому правилу.</w:t>
      </w:r>
      <w:r>
        <w:rPr>
          <w:color w:val="0B0B0B"/>
        </w:rPr>
        <w:t xml:space="preserve"> Основной метод — формула запаса времени, как у топ-20. Квантиль применяется только там, где формула даёт неверный результат. Отдельный файл для записки — </w:t>
      </w:r>
      <w:r>
        <w:rPr>
          <w:rFonts w:ascii="Consolas" w:hAnsi="Consolas"/>
          <w:color w:val="0B0B0B"/>
          <w:sz w:val="19"/>
        </w:rPr>
        <w:t>DOPOLNENIE_zapiska.md</w:t>
      </w:r>
      <w:r>
        <w:rPr>
          <w:color w:val="0B0B0B"/>
        </w:rPr>
        <w:t xml:space="preserve"> (</w:t>
      </w:r>
      <w:r>
        <w:rPr>
          <w:rFonts w:ascii="Consolas" w:hAnsi="Consolas"/>
          <w:color w:val="0B0B0B"/>
          <w:sz w:val="19"/>
        </w:rPr>
        <w:t>out/Dopolnenie_k_zapiske_RA.docx</w:t>
      </w:r>
      <w:r>
        <w:rPr>
          <w:color w:val="0B0B0B"/>
        </w:rPr>
        <w:t xml:space="preserve">), числа — </w:t>
      </w:r>
      <w:r>
        <w:rPr>
          <w:rFonts w:ascii="Consolas" w:hAnsi="Consolas"/>
          <w:color w:val="0B0B0B"/>
          <w:sz w:val="19"/>
        </w:rPr>
        <w:t>calib/method_selection.py</w:t>
      </w:r>
      <w:r>
        <w:rPr>
          <w:color w:val="0B0B0B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Показателей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Какие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Зона на 07.2026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 xml:space="preserve">запас времени </w:t>
            </w:r>
            <w:r>
              <w:rPr>
                <w:rFonts w:ascii="Consolas" w:hAnsi="Consolas"/>
                <w:color w:val="0B0B0B"/>
                <w:sz w:val="19"/>
              </w:rPr>
              <w:t>M(T) = z·σ·√T</w:t>
            </w:r>
            <w:r>
              <w:rPr>
                <w:color w:val="0B0B0B"/>
              </w:rPr>
              <w:t>, 35 точек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топ-20; пять PD и четыре EL розницы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топ-20 — жёлтая; девять розничных — зелёная</w:t>
            </w:r>
          </w:p>
        </w:tc>
      </w:tr>
      <w:tr>
        <w:tc>
          <w:tcPr>
            <w:tcW w:type="dxa" w:w="2160"/>
          </w:tcPr>
          <w:p>
            <w:r>
              <w:rPr>
                <w:color w:val="0B0B0B"/>
              </w:rPr>
              <w:t>квантиль по 29 обычным месяцам (без февраля–марта)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стоимость риска КБ/ПБ и МСБ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обе — зелёная</w:t>
            </w:r>
          </w:p>
        </w:tc>
      </w:tr>
    </w:tbl>
    <w:p/>
    <w:p>
      <w:pPr>
        <w:jc w:val="both"/>
      </w:pPr>
      <w:r>
        <w:rPr>
          <w:b/>
          <w:color w:val="0B0B0B"/>
        </w:rPr>
        <w:t>Почему CoR на квантиле.</w:t>
      </w:r>
      <w:r>
        <w:rPr>
          <w:color w:val="0B0B0B"/>
        </w:rPr>
        <w:t xml:space="preserve"> По КБ/ПБ формула ставит границу зелёной ниже нуля (−0,29 %). Причина у обеих CoR — сезон годового закрытия: 81–82 % изменчивости приходится на февраль–март. Эти шесть изменений исключены, отсюда 29 точек; скачки закрытия ловит триггер — пять из пяти за три года.</w:t>
      </w:r>
    </w:p>
    <w:p>
      <w:pPr>
        <w:jc w:val="both"/>
      </w:pPr>
      <w:r>
        <w:rPr>
          <w:b/>
          <w:color w:val="0B0B0B"/>
        </w:rPr>
        <w:t>Что сказать, если спросят.</w:t>
      </w:r>
      <w:r>
        <w:rPr>
          <w:color w:val="0B0B0B"/>
        </w:rPr>
        <w:t xml:space="preserve"> По девяти розничным показателям динамику контролируют триггеры: за 32 месяца они 29 раз поднимали уровень реакции выше R0 при зелёной зоне. Удалённость от уровней (использование 23–76 %) — характеристика текущего профиля риска, её оценка относится к актуализации значений на этапе 2.</w:t>
      </w:r>
    </w:p>
    <w:p>
      <w:pPr>
        <w:pStyle w:val="Heading2"/>
      </w:pPr>
      <w:r>
        <w:t>Следующий этап — поручение Дамира</w:t>
      </w:r>
    </w:p>
    <w:p>
      <w:pPr>
        <w:jc w:val="both"/>
      </w:pPr>
      <w:r>
        <w:rPr>
          <w:color w:val="0B0B0B"/>
        </w:rPr>
        <w:t xml:space="preserve">Формулировка для фиксации — </w:t>
      </w:r>
      <w:r>
        <w:rPr>
          <w:rFonts w:ascii="Consolas" w:hAnsi="Consolas"/>
          <w:color w:val="0B0B0B"/>
          <w:sz w:val="19"/>
        </w:rPr>
        <w:t>ZAPROS_DAMIRA.md</w:t>
      </w:r>
      <w:r>
        <w:rPr>
          <w:color w:val="0B0B0B"/>
        </w:rPr>
        <w:t>. Коротко: углубить аналитику по стоимости риска в разрезе мастер-шкалы (рейтинг клиента × рейтинг сделки) и провести осмысление системы риск-аппетита в целом — актуальны ли значения и меры, верно ли система показывает риски, движение и концентрацию, справляется ли со своей задачей.</w:t>
      </w:r>
    </w:p>
    <w:p>
      <w:pPr>
        <w:jc w:val="both"/>
      </w:pPr>
      <w:r>
        <w:rPr>
          <w:color w:val="0B0B0B"/>
        </w:rPr>
        <w:t>Начинается после закрытия этапа 1; сроки обсуждаются отдельно.</w:t>
      </w:r>
    </w:p>
    <w:p>
      <w:pPr>
        <w:pStyle w:val="Heading2"/>
      </w:pPr>
      <w:r>
        <w:t>Что переходит на этап 2</w:t>
      </w:r>
    </w:p>
    <w:p>
      <w:pPr>
        <w:jc w:val="both"/>
      </w:pPr>
      <w:r>
        <w:rPr>
          <w:color w:val="0B0B0B"/>
        </w:rPr>
        <w:t>Оценка системы риск-аппетита по международной практике (двенадцать позиций, шесть из которых сейчас отсутствуют: риск-ёмкость, заявление как документ, индикаторы раннего предупреждения, протокол эскалации, каскадирование, обратное стресс-тестирование); стыковка с экономическим капиталом, стресс-тестом и провизиями; инструмент зонирования и ежегодная перекалибровка; обратный стресс на оставшиеся метрики.</w:t>
      </w:r>
    </w:p>
    <w:p>
      <w:pPr>
        <w:jc w:val="both"/>
      </w:pPr>
      <w:r>
        <w:rPr>
          <w:color w:val="0B0B0B"/>
        </w:rPr>
        <w:t xml:space="preserve">Решение по итогу этапа 2 — </w:t>
      </w:r>
      <w:r>
        <w:rPr>
          <w:b/>
          <w:color w:val="0B0B0B"/>
        </w:rPr>
        <w:t>пивот, достройка или актуализация</w:t>
      </w:r>
      <w:r>
        <w:rPr>
          <w:color w:val="0B0B0B"/>
        </w:rPr>
        <w:t xml:space="preserve">. Сегодняшняя оценка, которую надо будет подтвердить или снять: вероятнее </w:t>
      </w:r>
      <w:r>
        <w:rPr>
          <w:b/>
          <w:color w:val="0B0B0B"/>
        </w:rPr>
        <w:t>достройка</w:t>
      </w:r>
      <w:r>
        <w:rPr>
          <w:color w:val="0B0B0B"/>
        </w:rPr>
        <w:t>, потому что отсутствуют не числа, а части конструкции. Версия «риск-аппетит измеряет то, чем нигде не управляют» уже опровергнута — мастер-шкала общая с провизиями.</w:t>
      </w:r>
    </w:p>
    <w:p>
      <w:pPr>
        <w:jc w:val="both"/>
      </w:pPr>
      <w:r>
        <w:rPr>
          <w:b/>
          <w:color w:val="0B0B0B"/>
        </w:rPr>
        <w:t>Одной строкой.</w:t>
      </w:r>
      <w:r>
        <w:rPr>
          <w:color w:val="0B0B0B"/>
        </w:rPr>
        <w:t xml:space="preserve"> Этап 1 не ждёт ничего, кроме проверки записки и заполнения шаблона: развилка по уровню выносится как развилка, а не как вывод. Ответы на шесть вопросов нужны не для того, чтобы начать, а для того, чтобы закрыть их до комитета.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