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Times New Roman" w:cs="Times New Roman" w:eastAsia="Times New Roman" w:hAnsi="Times New Roman"/>
          <w:b/>
          <w:bCs/>
          <w:color w:val="16202B"/>
          <w:sz w:val="40"/>
          <w:szCs w:val="40"/>
        </w:rPr>
        <w:t xml:space="preserve">Глава 11 Нормативов № 85: лимиты в целях минимизации рисков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B7A"/>
          <w:sz w:val="25"/>
          <w:szCs w:val="25"/>
        </w:rPr>
        <w:t xml:space="preserve">Полный разбор пп. 98–108 применительно к периметру БРМ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5B6B7A"/>
          <w:sz w:val="18"/>
          <w:szCs w:val="18"/>
        </w:rPr>
        <w:t xml:space="preserve">БРМ, АО «Евразийский банк» · рабочий контур docs/analysis/npl_limits · версия 0.3 от 19.08.2026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i/>
          <w:iCs/>
          <w:color w:val="3C4A56"/>
          <w:sz w:val="22"/>
          <w:szCs w:val="22"/>
        </w:rPr>
        <w:t xml:space="preserve">Постановление Правления АРРФР от 28.04.2026 № 85 устанавливает главой 11 восемь лимитов в целях минимизации рисков банков (п. 3 ст. 72 Закона о банках). Пять из восьми — кредитные и относятся к периметру БРМ. Формулы в исходном документе вставлены изображениями; здесь они перепечатаны и перед официальным цитированием подлежат сверке с зарегистрированной редакцией.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1. Восемь лимитов п. 98 и распределение ответственности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8"/>
        <w:gridCol w:w="3662"/>
        <w:gridCol w:w="1350"/>
        <w:gridCol w:w="1350"/>
      </w:tblGrid>
      <w:tr>
        <w:trPr>
          <w:tblHeader/>
        </w:trP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пп.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Лимит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Периметр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Владелец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1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увеличение займов с просрочкой по основному долгу и (или) вознаграждению свыше 90 дней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весь портфель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2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увеличение займов с просрочкой 61–90 дней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весь портфель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3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отношения неработающих займов к ссудному портфелю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весь портфель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4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увеличение доли неработающей дебиторской задолженности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дебиторка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вне 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5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снижение коэффициента рентабельности активов (ROA)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банк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вне 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6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отношения среднемесячных операций РЕПО к обязательствам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казначейство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вне 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7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доля потребзаймов 90+ в общей сумме потребзаймов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потребкредиты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8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доля заёмщиков с потреб-90+ в общем числе потребзаёмщиков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потребкредиты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11, п. 98, часть первая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Определения (п. 98, часть вторая)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Займы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выданные банкам и организациям, осуществляющим отдельные виды банковских операций, физическим лицам (включая ИП), юридическим лицам (включая МСБ),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плюс операции «обратное РЕПО»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Расчёт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gross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: без счетов дисконтов и премий, корректировок и провизий, сформированных по МСФО.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Неработающие займы (НЗ)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займы с признаками обесценения по критериям МСФО и Правил № 61 (от 29.09.2025, рег. № 36994)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плюс POCI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. По существу — Stage 3 + POCI, gross.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Потребительский заём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(для лимитов 7 и 8) — не ипотечный, физическому лицу, на цели вне предпринимательской деятельности, балансовые и внебалансовые счета.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2. Триггеры (п. 107) и целевые уровни (п. 104)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Лимит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Триггер по п. 107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Целевой уровень по п. 104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98-1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строгий рост семи последовательных месячных точек (ЗП90₆ &gt; ЗП90₅ &gt; … &gt; ЗП90₀) или прирост ≥ 5 % за период без монотонности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≤ 10 % (пп. 1)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98-2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те же две конструкции по ряду ЗП61-90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≤ 10 % (пп. 1)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≥ 10 % на конец периода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снижение до уровня менее 10 % (пп. 2)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98-4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рост доли шесть месяцев подряд или ≥ 5 п.п. за период; не применяется при росте из-за снижения совокупной дебиторки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≤ 50 % (пп. 3)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98-5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ROA ниже 0,2 % два и более раза за 6 месяцев; применяется только при k1 ≤ 0,10 или k2 ≤ 0,13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ROA ≥ 0,2 % (пп. 4)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отношение среднемесячных РЕПО к среднемесячным обязательствам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&lt; 35 % с 01.01.2026; &lt; 25 % с 01.07.2026 (пп. 5)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98-7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Ккпз = НПЛпз / Спз × 100 % ≥ 10 %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&lt; 10 % суммы потребзаймов (пп. 6)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98-8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Ккзнбпз = КЗнпз / КЗобщ × 100 % ≥ 10 %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&lt; 10 % числа потребзаёмщиков (пп. 7; о дефекте формулировки — раздел 6)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11, пп. 104, 107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К СВЕДЕНИЮ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Лимит 98-5 (ROA) применяется только к банку с k1 ≤ 10 % или k2 ≤ 13 % (п. 107 пп. 6, часть последняя). При k1 = 19,9 % и k2 = 22,9 % (форма 50 на 01.07.2026) ворота не пройдены — лимит ROA к Банку сейчас неприменим.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3. Негативное влияние на качество портфеля (п. 105)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Смысл: если динамика последних шести месяцев по лимитам 98-1/98-2 продолжится двенадцать месяцев, пробьёт ли НЗ/СП уровень 10 %. Механика — линейная экстраполяция удвоением полугодового прироста. Индексация: точка 0 — начало окна (шесть месяцев назад), точка 6 — конец отчётного месяца.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Для 98-1 (рост 90+); экстраполируется только компонента 90+, а «не-90+» часть НЗ держится константой: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F5F7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ЗП90₁₂ = (ЗП90₆ − ЗП90₀) × 2 + ЗП90₆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СП₁₂  = (СП₆ − СП₀) × 2 + СП₆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негативное влияние:  [ЗП90₁₂ + (НЗ₆ − ЗП90₆)] / СП₁₂  ≥  10 %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Для 98-2 (миграция 61–90 в 90+):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F5F7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ЗП61-90₁₂ = (ЗП61-90₆ − ЗП61-90₀) × 2 + ЗП61-90₆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СП₁₂     = (СП₆ − СП₀) × 2 + СП₆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негативное влияние:  (ЗП90₆ + ЗП61-90₁₂) / СП₁₂  ≥  10 %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СЛЕДСТВИЕ ДЛЯ БРМ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Лимиты 98-1 и 98-2 — опережающие индикаторы 98-3, встроенные самим регулятором. Ежемесячный мониторинг этих двух рядов — готовая система раннего предупреждения по НЗ/СП; разработка СРП и триггеров — прямая обязанность подразделения по управлению рисками (п. 34 пп. 5, 6 Правил № 86).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4. Процедура при превышении (пп. 99–103)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Шаг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Норма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Содержание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Выявление регулятором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99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выявляет превышение уровней п. 104 — банк и (или) акционеры, банковский холдинг, крупные участники разрабатывают и представляют план мероприятий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Самостоятельное выявление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102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план представляется в течение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5 рабочих дней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 со дня выявления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Защита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99, часть третья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 представленном плане превышение не рассматривается как нарушение лимита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Согласование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99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согласует план в течение 10 рабочих дней со дня представления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Замечания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100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 несогласии — письменные замечания и (или) совместные обсуждения; банк корректирует план в указанные сроки либо представляет письменные обоснования несогласия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Одобрение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101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письменное одобрение или неодобрение в срок до 30 рабочих дней с даты представления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Освобождение от плана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103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 98-1/98-2 — при отсутствии негативного влияния по п. 105 и отсутствии сработки 98-3, либо при сработке 98-3 (всё сворачивается в один план); по 98-1 и 98-5 — если превышение выявлено ежегодным стресс-тестированием по сценариям АРРФР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11, пп. 99–103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Обязательный состав плана (п. 99, часть вторая, «не ограничиваясь»)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детальный анализ Лимита;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прогноз Лимита, обоснование прогноза и негативные влияния на деятельность банка;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меры по улучшению — доведение до уровня, не представляющего угрозу и не создающего дополнительных рисков;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для 98-3 — мероприятия по каждому отчётному периоду, в том числе в разрезе физических и юридических лиц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(обязательный разрез);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сроки исполнения по каждому пункту плана;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перечень руководящих работников, ответственных за исполнение по каждому пункту плана.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5. Мониторинг и стресс-тестирование (пп. 106, 108)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П. 106: АРРФР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ежемесячно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анализирует деятельность банка по отчётности для определения лимитов. Внутренний расчёт должен опережать регуляторный цикл, а не догонять его.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П. 108: для банков из списков системно значимых и потенциально системно значимых (Постановление НБ РК № 240) факторы 98-1 и 98-5 дополняются сценариями АРРФР: сценарии — до 1 февраля, стресс-тест и представление результатов — до 1 апреля. Статус Банка — открытый вопрос (Г12 контура risk_appetite).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6. Дефекты текста главы (Н1–Н4)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Наблюдения по тексту предоставленной редакции; перед официальной перепиской сверить с зарегистрированной редакцией. Практическое следствие: в плане мероприятий ссылаться на пункты по смыслу, не воспроизводя битые перекрёстные ссылки дословно.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Код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Место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Наблюдение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Н1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103 пп. 1; п. 104 пп. 1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ссылка на «подпункты 1) и 2) части первой пункта 99» — у п. 99 подпунктов нет; по смыслу — п. 98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Н2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102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ссылка на «план мероприятий, предусмотренный частью второй пункта 98» — состав плана установлен частью второй п. 99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104 пп. 7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метрика по количеству заёмщиков доводится «до уровня менее 10 % от общей суммы потребительских займов» — знаменатель перенесён из пп. 6 копированием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Н4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107 пп. 1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текст: рост «на 5 и более процентных пунктов»; формула — относительный прирост ≥ 5 %; в пп. 2 та же конструкция названа «процентов»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 · сверка текста и формул выполнена 18.08.2026</w:t>
      </w:r>
    </w:p>
    <w:p>
      <w:r>
        <w:br w:type="page"/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7. Лестница эскалации: глава 11 → раздел 6 Закона № 258-VIII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Новый Закон о банках (№ 258-VIII от 16.01.2026, в силе с 19.03.2026) устанавливает разделом 6 три антикризисных режима. Сверено с полным текстом закона (редакция на 25.08.2026). Ниже — как лимит 98-3 встроен в эту лестницу.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8"/>
        <w:gridCol w:w="3662"/>
        <w:gridCol w:w="1350"/>
        <w:gridCol w:w="1350"/>
      </w:tblGrid>
      <w:tr>
        <w:trPr>
          <w:tblHeader/>
        </w:trP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Ступень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Норма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Основание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Что происходит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0. Штатный надзор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глава 11 Нормативов № 85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≥ 10 % при представленном плане мероприятий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«не рассматривается как нарушение» (п. 99)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1. Признаки ухудшения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ст. 85 Закона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шесть категорий признаков; значения — НПА АРРФР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регулятор выбирает режим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2. Усиленный надзор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ст. 87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 решению АРРФР, цель — предотвратить ухудшение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девять полномочий сверх мер ст. 78; решение конфиденциально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3. Восстановление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ст. 88–89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существенное ухудшение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план восстановления ≤ 12 месяцев, без госсредств; плюс требования к структуре активов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4. Урегулирование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ст. 90–95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неплатежеспособность или её угроза (оценка жизнеспособности, ст. 91)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временная администрация, инструменты урегулирования, принудительная продажа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Закон РК № 258-VIII от 16.01.2026, раздел 6 · сверка 19.08.2026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Признаки ухудшения (ст. 85 п. 2)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снижение значений пруденциальных нормативов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и лимитов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(капитал, ликвидность, макропруденциальные лимиты НБ РК);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неисполнение денежных обязательств перед депозиторами и кредиторами из-за отсутствия или недостаточности денег;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факты (сделки), достоверное отражение которых в отчётности может привести к нарушению коэффициентов капитала или неисполнению обязательств;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недостатки и (или) риски, выявленные надзором;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неисполнение плана восстановления финансовой устойчивости;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иные признаки по НПА уполномоченного органа. Значения утверждены постановлением АРРФР от 07.08.2026 № 119 (рег. № 39529): 26 количественных показателей шести категорий (капитал, кредитный риск, ликвидность, валютный риск, прибыльность, рейтинги) плюс качественные признаки; кредитный блок — таблица ниже.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Пороговые значения кредитного риска (№ 119, приложение 1)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8"/>
        <w:gridCol w:w="3662"/>
        <w:gridCol w:w="1350"/>
        <w:gridCol w:w="1350"/>
      </w:tblGrid>
      <w:tr>
        <w:trPr>
          <w:tblHeader/>
        </w:trP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Тип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Усиленный надзор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Восстановление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Доля кредитов 3 стадии и ПСКО (ДС3), разово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основной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≥ 15 % при КПП &lt; 40 %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≥ 20 % при КПП &lt; 40 %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ДС3 шесть последовательных месяцев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основной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≥ 10 % при КПП &lt; 40 % (оба условия все 6 мес.)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≥ 15 % при КПП &lt; 40 %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Мгновенный рост ДС3 за месяц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вспомогательный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+4…+6 п.п.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свыше +6 п.п.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Уплаченное/начисленное вознаграждение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вспомогательный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&lt; 75 %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&lt; 60 %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Топ-20 к основному капиталу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вспомогательный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&gt; 200 % при доле стадии 3 в топ-20 &gt; 10 %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АРРФР № 119 от 07.08.2026 (рег. № 39529), приложения 1 и 2; ДС3 = (кредиты 3 стадии + ПСКО)/ссудный портфель gross, КПП = провизии 3 стадии/(кредиты 3 стадии + ПСКО). Отклонение одного основного показателя — достаточное основание режима (п. 5); мониторинг ежемесячный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Качественные признаки № 119: для усиленного надзора — существенные недостатки корпоративного управления и СУР, искажения отчётности, иные надзорные находки (п. 15);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неисполнение мер по ст. 80 Закона, включая план мероприятий, — основание сразу для режима восстановления (п. 16 пп. 6)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; неисполнение или неэффективность плана восстановления — для урегулирования (п. 17 пп. 7).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Полномочия АРРФР в режиме усиленного надзора (ст. 87 п. 2)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Сверх обычных мер надзорного реагирования (ст. 78), в форме письменного предписания: отчётность с индивидуальной периодичностью, в том числе через витрину данных (пп. 1 приостановлен до 01.01.2027); оценка финансового и имущественного состояния с посещением банка и внешними оценщиками за счёт банка; анализ устойчивости к неблагоприятным макроусловиям; требование актуализации плана восстановления; требование мер от банка, крупных участников и холдинга вплоть до докапитализации; приостановление отдельных операций и сделок внутри конгломерата; улучшение корпоративного управления и СУР. Отдельно: поправки Закона № 306-VIII от 11.06.2026 в Закон о банках терминологические (ст. 1 п. 77) и статей 72, 78–92 не затрагивают.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СЛЕДСТВИЯ ДЛЯ КЕЙСА 98-3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Сработка 98-3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6202B"/>
                <w:sz w:val="19"/>
                <w:szCs w:val="19"/>
              </w:rPr>
              <w:t xml:space="preserve">без</w:t>
            </w:r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 представленного плана — прямой вход в признак ст. 85 п. 2 пп. 1 «снижение значений пруденциальных нормативов и лимитов»; щит п. 99 главы 11 удерживает банк на ступени 0, и пятидневный срок п. 102 — цена этого щита. Выход из усиленного надзора — только после устранения оснований и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6202B"/>
                <w:sz w:val="19"/>
                <w:szCs w:val="19"/>
              </w:rPr>
              <w:t xml:space="preserve">шести последовательных месяцев</w:t>
            </w:r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 соблюдения всех нормативов и лимитов (ст. 87 п. 6). Решение о режиме конфиденциально (ст. 87 п. 4). Отдельно: план восстановления финансовой устойчивости (ст. 88) обязателен постоянно, актуализируется ежегодно, без госсредств, срок реализации до 12 месяцев — проверить его актуальность у владельца в банке; его неисполнение — самостоятельный признак ухудшения (ст. 85 п. 2 пп. 5).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8. Стыки с внутренней нормативной базой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77"/>
        <w:gridCol w:w="3663"/>
      </w:tblGrid>
      <w:tr>
        <w:trPr>
          <w:tblHeader/>
        </w:trP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Внутренний контур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Стык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Заявление РА (Приложение № 3 к Политике)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зеркала НЗ/СП среди 14 кредитных метрик нет — кандидат № 1 на включение при пересмотре уровней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№ 86, п. 34 пп. 5, 6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 разрабатывает системы раннего предупреждения и триггеры — ряды 98-1/98-2 дают готовую конструкцию СРП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№ 86, отчёт по ВПОДК, Таблица 2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графы 9–10 (случаи достижения уровня и длительность) — сработка 98-3 подлежит отражению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№ 61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критерии обесценения задают периметр НЗ; стык с контуром Stage 3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Форма 50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в отчёте об уровнях РА отсутствует; появится в сводном листе после включения в заявление РА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Сопоставление с ВНД Банка — по картам контуров risk_appetite и npl_limits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2026-08-19T11:02:43.960Z</dcterms:created>
  <dcterms:modified xsi:type="dcterms:W3CDTF">2026-08-19T11:02:43.974Z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