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Задача: аналитическая записка по зонированию кредитных метрик риск-аппетита</w:t>
      </w:r>
    </w:p>
    <w:p>
      <w:pPr>
        <w:jc w:val="both"/>
      </w:pPr>
      <w:r>
        <w:rPr>
          <w:color w:val="0B0B0B"/>
        </w:rPr>
        <w:t xml:space="preserve">Этап 1, срок </w:t>
      </w:r>
      <w:r>
        <w:rPr>
          <w:b/>
          <w:color w:val="0B0B0B"/>
        </w:rPr>
        <w:t>30.09.2026 вместе с согласованием</w:t>
      </w:r>
      <w:r>
        <w:rPr>
          <w:color w:val="0B0B0B"/>
        </w:rPr>
        <w:t xml:space="preserve"> — значит работа должна быть закончена за один-три дня. Исполнитель — Ерлан, по согласованию с Айдаром. Черновик по этой задаче готов: </w:t>
      </w:r>
      <w:r>
        <w:rPr>
          <w:rFonts w:ascii="Consolas" w:hAnsi="Consolas"/>
          <w:color w:val="0B0B0B"/>
          <w:sz w:val="19"/>
        </w:rPr>
        <w:t>ZAPISKA_v0_7.md</w:t>
      </w:r>
      <w:r>
        <w:rPr>
          <w:color w:val="0B0B0B"/>
        </w:rPr>
        <w:t>.</w:t>
      </w:r>
    </w:p>
    <w:p>
      <w:pPr>
        <w:pStyle w:val="Heading2"/>
      </w:pPr>
      <w:r>
        <w:t>Что это за документ</w:t>
      </w:r>
    </w:p>
    <w:p>
      <w:pPr>
        <w:jc w:val="both"/>
      </w:pPr>
      <w:r>
        <w:rPr>
          <w:color w:val="0B0B0B"/>
        </w:rPr>
        <w:t xml:space="preserve">Короткая аналитическая записка для уполномоченного органа. Её задача — </w:t>
      </w:r>
      <w:r>
        <w:rPr>
          <w:b/>
          <w:color w:val="0B0B0B"/>
        </w:rPr>
        <w:t>объяснить конструкцию и вынести на решение две вещи</w:t>
      </w:r>
      <w:r>
        <w:rPr>
          <w:color w:val="0B0B0B"/>
        </w:rPr>
        <w:t>: пересчитанный уровень по топ-20 и принятие лестничной разметки с триггерами.</w:t>
      </w:r>
    </w:p>
    <w:p>
      <w:pPr>
        <w:jc w:val="both"/>
      </w:pPr>
      <w:r>
        <w:rPr>
          <w:color w:val="0B0B0B"/>
        </w:rPr>
        <w:t xml:space="preserve">Записка </w:t>
      </w:r>
      <w:r>
        <w:rPr>
          <w:b/>
          <w:color w:val="0B0B0B"/>
        </w:rPr>
        <w:t>не устанавливает уровни риск-аппетита</w:t>
      </w:r>
      <w:r>
        <w:rPr>
          <w:color w:val="0B0B0B"/>
        </w:rPr>
        <w:t xml:space="preserve"> и не оценивает систему в целом. Оценка рамки по международной практике — этап 2, начало октября, и в записку не входит.</w:t>
      </w:r>
    </w:p>
    <w:p>
      <w:pPr>
        <w:pStyle w:val="Heading2"/>
      </w:pPr>
      <w:r>
        <w:t>Сторилайн — зафиксирован, порядок не менять</w:t>
      </w:r>
    </w:p>
    <w:p>
      <w:pPr>
        <w:jc w:val="both"/>
      </w:pPr>
      <w:r>
        <w:rPr>
          <w:color w:val="0B0B0B"/>
        </w:rPr>
        <w:t>Девять шагов. Каждый следующий отвечает на вопрос, который возникает после предыдущего; переставлять их нельзя, иначе читатель спросит «почему» раньше, чем получит ответ.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должно быть сказано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Как раньше считался топ-20 и когда поменялся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метрика, уровень 95 %, откуда он (Приложение № 3 к Политике, ни один НПА его не задаёт), дата смены базы капитала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Почему менялся только знаменатель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числитель — сумма двадцати крупнейших — не менялся; изменился знаменатель: показатель </w:t>
            </w:r>
            <w:r>
              <w:rPr>
                <w:b/>
                <w:color w:val="0B0B0B"/>
              </w:rPr>
              <w:t>переведён с регуляторного собственного капитала на балансовый</w:t>
            </w:r>
            <w:r>
              <w:rPr>
                <w:color w:val="0B0B0B"/>
              </w:rPr>
              <w:t>; коэффициент вырос механически, без изменения портфеля и концентрации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Значит, уровень надо заменить пропорционально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отношение баз </w:t>
            </w:r>
            <w:r>
              <w:rPr>
                <w:b/>
                <w:color w:val="0B0B0B"/>
              </w:rPr>
              <w:t>на дату перевода</w:t>
            </w:r>
            <w:r>
              <w:rPr>
                <w:color w:val="0B0B0B"/>
              </w:rPr>
              <w:t xml:space="preserve"> = 0,874525; 95 % / 0,874525 = </w:t>
            </w:r>
            <w:r>
              <w:rPr>
                <w:b/>
                <w:color w:val="0B0B0B"/>
              </w:rPr>
              <w:t>108,63 %</w:t>
            </w:r>
            <w:r>
              <w:rPr>
                <w:color w:val="0B0B0B"/>
              </w:rPr>
              <w:t xml:space="preserve">. Отношение не постоянно (0,7791 → 0,8745 за 30 месяцев), поэтому уровень зависит от якоря; якорь задан правилом, и выбранный даёт </w:t>
            </w:r>
            <w:r>
              <w:rPr>
                <w:b/>
                <w:color w:val="0B0B0B"/>
              </w:rPr>
              <w:t>наименьшее</w:t>
            </w:r>
            <w:r>
              <w:rPr>
                <w:color w:val="0B0B0B"/>
              </w:rPr>
              <w:t xml:space="preserve"> из возможных значений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Формула запаса времени, разложенная по множителям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M(T) = z(p) · σ_Δ · √T</w:t>
            </w:r>
            <w:r>
              <w:rPr>
                <w:color w:val="0B0B0B"/>
              </w:rPr>
              <w:t xml:space="preserve">. Отдельно: что такое σ_Δ; что такое √T и откуда он (базельское масштабирование риска на срок); </w:t>
            </w:r>
            <w:r>
              <w:rPr>
                <w:b/>
                <w:color w:val="0B0B0B"/>
              </w:rPr>
              <w:t>что такое z(0,90) и почему именно он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M(4) и M(1) → три зоны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M(4) — ход за цикл реагирования, M(1) — за период отчётности. Границы зелёной, жёлтой, красной с числами по топ-20 и текущей точкой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Мы не вводим новую логику — наследуем ACARI и ALRI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в Банке светофор уже есть, Приложение № 2 к Методике агрегированных уровней; там </w:t>
            </w:r>
            <w:r>
              <w:rPr>
                <w:b/>
                <w:color w:val="0B0B0B"/>
              </w:rPr>
              <w:t>красная зона стоит до лимита, а не за ним</w:t>
            </w:r>
            <w:r>
              <w:rPr>
                <w:color w:val="0B0B0B"/>
              </w:rPr>
              <w:t>; берём те же названия и определения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Второй уровень поимки: триггеры на движение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волатильность позволяет скачок из зелёной прямо в красную; зона смотрит на значение, триггер — на скорость; триггеры по </w:t>
            </w:r>
            <w:r>
              <w:rPr>
                <w:b/>
                <w:color w:val="0B0B0B"/>
              </w:rPr>
              <w:t>Δ СК</w:t>
            </w:r>
            <w:r>
              <w:rPr>
                <w:color w:val="0B0B0B"/>
              </w:rPr>
              <w:t xml:space="preserve"> и </w:t>
            </w:r>
            <w:r>
              <w:rPr>
                <w:b/>
                <w:color w:val="0B0B0B"/>
              </w:rPr>
              <w:t>Δ Займ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Применимость к остальным метрикам: нормальность и ЦПТ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формально нормальны три из двенадцати; но решает не формальная проверка. ЦПТ объясняет, почему сумма приращений ближе к нормальной, но на T = 4 права не даёт. </w:t>
            </w:r>
            <w:r>
              <w:rPr>
                <w:b/>
                <w:color w:val="0B0B0B"/>
              </w:rPr>
              <w:t>Правило выбора метода — три условия из предпосылок формулы:</w:t>
            </w:r>
            <w:r>
              <w:rPr>
                <w:color w:val="0B0B0B"/>
              </w:rPr>
              <w:t xml:space="preserve"> К1 невырожденность, К2 однородность хода по календарю, К3 достаточность буфера. Выполняют десять из двенадцати, включая топ-20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Для кого запас времени не работает — какая формула у них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две метрики стоимости риска</w:t>
            </w:r>
            <w:r>
              <w:rPr>
                <w:color w:val="0B0B0B"/>
              </w:rPr>
              <w:t xml:space="preserve">: не выполняют К2 — 81–82 % изменчивости в феврале–марте; КБ и ПБ, кроме того, К1 — буфер больше уровня. Замещающий метод — </w:t>
            </w:r>
            <w:r>
              <w:rPr>
                <w:b/>
                <w:color w:val="0B0B0B"/>
              </w:rPr>
              <w:t>90-й процентиль значений за 36 месяцев с отсечением выбросов</w:t>
            </w:r>
            <w:r>
              <w:rPr>
                <w:color w:val="0B0B0B"/>
              </w:rPr>
              <w:t xml:space="preserve">, та же вероятность 90 % и то же окно. Развёрнуто — </w:t>
            </w:r>
            <w:r>
              <w:rPr>
                <w:rFonts w:ascii="Consolas" w:hAnsi="Consolas"/>
                <w:color w:val="0B0B0B"/>
                <w:sz w:val="19"/>
              </w:rPr>
              <w:t>INSERT_11_metrik.md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Заключение: что выносится на решение. Меры реагирования в записку </w:t>
      </w:r>
      <w:r>
        <w:rPr>
          <w:b/>
          <w:color w:val="0B0B0B"/>
        </w:rPr>
        <w:t>не разворачиваются</w:t>
      </w:r>
      <w:r>
        <w:rPr>
          <w:color w:val="0B0B0B"/>
        </w:rPr>
        <w:t xml:space="preserve"> — их несёт отдельное приложение «Шаблон мер реагирования», 48 случаев.</w:t>
      </w:r>
    </w:p>
    <w:p>
      <w:pPr>
        <w:pStyle w:val="Heading2"/>
      </w:pPr>
      <w:r>
        <w:t>Три места, где записка обязана возразить себе</w:t>
      </w:r>
    </w:p>
    <w:p>
      <w:pPr>
        <w:jc w:val="both"/>
      </w:pPr>
      <w:r>
        <w:rPr>
          <w:color w:val="0B0B0B"/>
        </w:rPr>
        <w:t>Без них документ читается как позиция, а не как расчёт. Каждое стоит в тексте прямо, а не в сноске.</w:t>
      </w:r>
    </w:p>
    <w:p>
      <w:pPr>
        <w:jc w:val="both"/>
      </w:pPr>
      <w:r>
        <w:rPr>
          <w:b/>
          <w:color w:val="0B0B0B"/>
        </w:rPr>
        <w:t>Шаг 3 — пересчёт уровня снимает текущий перелимит.</w:t>
      </w:r>
      <w:r>
        <w:rPr>
          <w:color w:val="0B0B0B"/>
        </w:rPr>
        <w:t xml:space="preserve"> Если якорную дату выбирать после того, как посмотрели на факт, это подгонка уровня под результат, и служба внутреннего аудита вправе так и прочитать. Защита двойная: якорь фиксируется </w:t>
      </w:r>
      <w:r>
        <w:rPr>
          <w:b/>
          <w:color w:val="0B0B0B"/>
        </w:rPr>
        <w:t>правилом</w:t>
      </w:r>
      <w:r>
        <w:rPr>
          <w:color w:val="0B0B0B"/>
        </w:rPr>
        <w:t xml:space="preserve"> — датой перевода показателя, — и </w:t>
      </w:r>
      <w:r>
        <w:rPr>
          <w:b/>
          <w:color w:val="0B0B0B"/>
        </w:rPr>
        <w:t>арифметикой</w:t>
      </w:r>
      <w:r>
        <w:rPr>
          <w:color w:val="0B0B0B"/>
        </w:rPr>
        <w:t xml:space="preserve">: выбранный якорь даёт наименьший из возможных уровней (108,63 против 113,47 и 121,93 при более ранних датах), то есть работает против послабления. В материалы выносятся </w:t>
      </w:r>
      <w:r>
        <w:rPr>
          <w:b/>
          <w:color w:val="0B0B0B"/>
        </w:rPr>
        <w:t>обе картины</w:t>
      </w:r>
      <w:r>
        <w:rPr>
          <w:color w:val="0B0B0B"/>
        </w:rPr>
        <w:t xml:space="preserve">: факт против 95 % на прежней базе и против 108,63 % на новой. Аргумент «одна величина в двух системах измерения» </w:t>
      </w:r>
      <w:r>
        <w:rPr>
          <w:b/>
          <w:color w:val="0B0B0B"/>
        </w:rPr>
        <w:t>применять нельзя</w:t>
      </w:r>
      <w:r>
        <w:rPr>
          <w:color w:val="0B0B0B"/>
        </w:rPr>
        <w:t xml:space="preserve"> — отношение баз не постоянно.</w:t>
      </w:r>
    </w:p>
    <w:p>
      <w:pPr>
        <w:jc w:val="both"/>
      </w:pPr>
      <w:r>
        <w:rPr>
          <w:b/>
          <w:color w:val="0B0B0B"/>
        </w:rPr>
        <w:t>Шаг 7 — «полный контроль метрики» сказать нельзя.</w:t>
      </w:r>
      <w:r>
        <w:rPr>
          <w:color w:val="0B0B0B"/>
        </w:rPr>
        <w:t xml:space="preserve"> Зона закрывает уровень, триггер — скорость. Третий способ сдвинуть метрику — </w:t>
      </w:r>
      <w:r>
        <w:rPr>
          <w:b/>
          <w:color w:val="0B0B0B"/>
        </w:rPr>
        <w:t>переопределить знаменатель</w:t>
      </w:r>
      <w:r>
        <w:rPr>
          <w:color w:val="0B0B0B"/>
        </w:rPr>
        <w:t>, и он не ловится ни зоной, ни триггером, потому что с точки зрения ряда ничего не произошло. Это не гипотеза: именно так метрика и сдвинулась в 2026 году. Защита только процедурная — изменение состава числителя или знаменателя выносится отдельно.</w:t>
      </w:r>
    </w:p>
    <w:p>
      <w:pPr>
        <w:jc w:val="both"/>
      </w:pPr>
      <w:r>
        <w:rPr>
          <w:b/>
          <w:color w:val="0B0B0B"/>
        </w:rPr>
        <w:t>Шаг 8 — на ЦПТ мы не опираемся.</w:t>
      </w:r>
      <w:r>
        <w:rPr>
          <w:color w:val="0B0B0B"/>
        </w:rPr>
        <w:t xml:space="preserve"> Теорема говорит о пределе при большом числе слагаемых, а у нас T = 4. Количественная оценка погрешности на таком горизонте даёт границу порядка ±46 процентных пунктов: теорема </w:t>
      </w:r>
      <w:r>
        <w:rPr>
          <w:b/>
          <w:color w:val="0B0B0B"/>
        </w:rPr>
        <w:t>не гарантирует ничего</w:t>
      </w:r>
      <w:r>
        <w:rPr>
          <w:color w:val="0B0B0B"/>
        </w:rPr>
        <w:t>. Она объясняет направление, но права не даёт; право даёт прямое сравнение с эмпирическим квантилем.</w:t>
      </w:r>
    </w:p>
    <w:p>
      <w:pPr>
        <w:pStyle w:val="Heading2"/>
      </w:pPr>
      <w:r>
        <w:t>Что в записку не входит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Почему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Оценка системы риск-аппетита по международной практике, экономический капитал, стресс-тест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этап 2, начало октября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Находки по ACARI, ALRI, k1, k1-2, k2, HLA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вне периметра БРМ</w:t>
            </w:r>
            <w:r>
              <w:rPr>
                <w:color w:val="0B0B0B"/>
              </w:rPr>
              <w:t xml:space="preserve"> — эти метрики БРМ не считает. Передаются владельцам как есть, без нашей интерпретации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Развёрнутые меры реагирования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несёт отдельное приложение — шаблон на 48 случаев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Инструмент зонирования и перекалибровка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этап 2</w:t>
            </w:r>
          </w:p>
        </w:tc>
      </w:tr>
    </w:tbl>
    <w:p/>
    <w:p>
      <w:pPr>
        <w:pStyle w:val="Heading2"/>
      </w:pPr>
      <w:r>
        <w:t>Что известно и больше не обсуждается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Вопрос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Ответ автора от 17.09.2026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Знаменатель топ-20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балансовый собственный капитал</w:t>
            </w:r>
            <w:r>
              <w:rPr>
                <w:color w:val="0B0B0B"/>
              </w:rPr>
              <w:t xml:space="preserve">, выбор давний и сознательный. Вариант «перейти на регуляторный капитал и уровень 118,17 %» </w:t>
            </w:r>
            <w:r>
              <w:rPr>
                <w:b/>
                <w:color w:val="0B0B0B"/>
              </w:rPr>
              <w:t>снят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Лимит CoR по МСБ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3,5 %</w:t>
            </w:r>
            <w:r>
              <w:rPr>
                <w:color w:val="0B0B0B"/>
              </w:rPr>
              <w:t>. Число 3,3 % на листе 50-2 — опечатка листа, а не второй утверждённый лимит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Вопросы по метрикам капитала и ликвидности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сняты как вне периметра</w:t>
            </w:r>
          </w:p>
        </w:tc>
      </w:tr>
    </w:tbl>
    <w:p/>
    <w:p>
      <w:pPr>
        <w:jc w:val="both"/>
      </w:pPr>
      <w:r>
        <w:rPr>
          <w:color w:val="0B0B0B"/>
        </w:rPr>
        <w:t>Ряд пересчитывать не требуется: колонка балансового капитала месячного файла совпадает с ячейкой формы 50 до третьего знака, коэффициент воспроизводится до четвёртого.</w:t>
      </w:r>
    </w:p>
    <w:p>
      <w:pPr>
        <w:pStyle w:val="Heading2"/>
      </w:pPr>
      <w:r>
        <w:t>Что остаётся открытым — и что с этим делать в записке</w:t>
      </w:r>
    </w:p>
    <w:p>
      <w:pPr>
        <w:jc w:val="both"/>
      </w:pPr>
      <w:r>
        <w:rPr>
          <w:b/>
          <w:color w:val="0B0B0B"/>
        </w:rPr>
        <w:t>Одно.</w:t>
      </w:r>
      <w:r>
        <w:rPr>
          <w:color w:val="0B0B0B"/>
        </w:rPr>
        <w:t xml:space="preserve"> Природа ряда CoR: в отчёте он назван «текущим годовым уровнем», формулы за ним нет ни на одном листе формы 50. До ответа владельца расчёта разметка </w:t>
      </w:r>
      <w:r>
        <w:rPr>
          <w:b/>
          <w:color w:val="0B0B0B"/>
        </w:rPr>
        <w:t>обеих метрик CoR предварительна</w:t>
      </w:r>
      <w:r>
        <w:rPr>
          <w:color w:val="0B0B0B"/>
        </w:rPr>
        <w:t>, и в записке это должно стоять прямо, а не в примечании.</w:t>
      </w:r>
    </w:p>
    <w:p>
      <w:pPr>
        <w:jc w:val="both"/>
      </w:pPr>
      <w:r>
        <w:rPr>
          <w:color w:val="0B0B0B"/>
        </w:rPr>
        <w:t>Остальные одиннадцать метрик от этого ответа не зависят.</w:t>
      </w:r>
    </w:p>
    <w:p>
      <w:pPr>
        <w:pStyle w:val="Heading2"/>
      </w:pPr>
      <w:r>
        <w:t>Критерий готовности</w:t>
      </w:r>
    </w:p>
    <w:p>
      <w:pPr>
        <w:pStyle w:val="ListNumber"/>
      </w:pPr>
      <w:r>
        <w:rPr>
          <w:color w:val="0B0B0B"/>
        </w:rPr>
        <w:t>Все девять шагов сторилайна пройдены в заданном порядке.</w:t>
      </w:r>
    </w:p>
    <w:p>
      <w:pPr>
        <w:pStyle w:val="ListNumber"/>
      </w:pPr>
      <w:r>
        <w:rPr>
          <w:color w:val="0B0B0B"/>
        </w:rPr>
        <w:t>Три самовозражения стоят в тексте.</w:t>
      </w:r>
    </w:p>
    <w:p>
      <w:pPr>
        <w:pStyle w:val="ListNumber"/>
      </w:pPr>
      <w:r>
        <w:rPr>
          <w:color w:val="0B0B0B"/>
        </w:rPr>
        <w:t>Против каждого числа можно назвать лист, ячейку или прогон — карта источников</w:t>
      </w:r>
    </w:p>
    <w:p>
      <w:pPr>
        <w:jc w:val="both"/>
      </w:pPr>
      <w:r>
        <w:rPr>
          <w:color w:val="0B0B0B"/>
        </w:rPr>
        <w:t>в приложении заполнена.</w:t>
      </w:r>
    </w:p>
    <w:p>
      <w:pPr>
        <w:pStyle w:val="ListNumber"/>
      </w:pPr>
      <w:r>
        <w:rPr>
          <w:color w:val="0B0B0B"/>
        </w:rPr>
        <w:t>Предварительность разметки CoR объявлена.</w:t>
      </w:r>
    </w:p>
    <w:p>
      <w:pPr>
        <w:pStyle w:val="ListNumber"/>
      </w:pPr>
      <w:r>
        <w:rPr>
          <w:color w:val="0B0B0B"/>
        </w:rPr>
        <w:t>Записка не содержит находок вне периметра БРМ.</w:t>
      </w:r>
    </w:p>
    <w:p>
      <w:pPr>
        <w:pStyle w:val="ListNumber"/>
      </w:pPr>
      <w:r>
        <w:rPr>
          <w:color w:val="0B0B0B"/>
        </w:rPr>
        <w:t>Документ читается за пятнадцать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