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ОЦЕНКА АКТУАЛЬНОСТИ ДЕЙСТВУЮЩИХ УРОВНЕЙ РИСК-АППЕТИТА ПО КРЕДИТНОМУ РИСКУ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Рабочая версия аналитической записки по мероприятию 1 плана мероприятий. Анализ на девятиквартальном ряде Q2 2024 — Q2 2026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Рабочая версия v0.2. Не для подписания. Один раздел не заполнен — см. § 1.2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Замечание СВА (высокий уровень): не обеспечен ежегодный пересмотр уровней риск-аппетита по кредитному риску. Мероприятие 1, срок до 30.09.2026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 мер риска по кредитному риску: КБ — 3, МСБ — 2, РБ — 9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Отчётная 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Источники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Форма отчёта № 50 на 01.07.2026, листы 50-1, 50-2, 50-5; недельный ряд из 521 наблюдения по топ-20 за 11.05.2016 — 10.08.2026 из оперативных файлов подразделения; Приложение № 3 и № 4 к Политике определения аппетита к риску; Методика проведения стресс-тестирования (ред. 21.09.2022) с Приложениями № 1–7; заполненные месячные формы стресс-тестирования кредитного риска на 01.01 — 01.07.2026; Правила № 85 и № 86 от 28.04.2026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19.08.2026 (v0.4)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Ряд из девяти кварталов по всем метрикам взят с листа «Выводы» (форма 50-5) того же отчёта. По коэффициенту топ-20 дополнительно собран недельный ряд из 521 наблюдения за десять лет — он лёг в основу § 4 и § 9.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Основной вывод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За девять кварталов из четырнадцати кредитных лимитов сработал ровно один — и сработал сразу нарушением, без предупреждения.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отношения топ-20 крупных заёмщиков к собственному капиталу восемь кварталов держался в диапазоне 69,5–77,1 %, затем вырос до 92,66 % в Q1 2026 и до 101,50 % в Q2 2026 при уровне не более 95 %. Остальные тринадцать метрик за весь период ни разу не приблизились к своим уровням.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Недельный ряд за десять лет уточняет картину и добавляет к ней три факта.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Собрано 521 наблюдение с 11.05.2016 по 10.08.2026 из оперативных файлов подразделения (§ 2.1). Первое: уровень риск-аппетита пересматривался — до 13.02.2023 он составлял 250 %, с 20.02.2023 — 95 %. Второе: нарушение мая–августа 2026 является первым с ноября 2017 года, то есть за восемь с половиной лет. Третье, и наиболее существенное: три четверти скачка сделаны падением капитала, а не ростом портфеля.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Утилизация лимита вводит в заблуждение.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 отношению «факт / лимит» пять метрик розничного бизнеса выглядят активными: 70–76 %. Но если измерить расстояние до лимита в квартальных стандартных отклонениях самой метрики, картина меняется полностью: PD по необеспеченным кредитам отстоит от лимита на 45 σ, PD по обеспеченным — на 25 σ, PD по прочим — на 91 σ. При квартальной частоте расчёта это означает, что лимит недостижим в любом обозримом горизонте. Высокая утилизация здесь отражает не близость к лимиту, а то, что лимит установлен вблизи исторического уровня показателя и никогда не пересматривался.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Активны по динамике две метрики из четырнадцати: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коэффициент топ-20 (уже нарушен) и уровень ожидаемых потерь по необеспеченному портфелю РБ — 9,1 σ до лимита, причём в Q2 2026 он показал максимальный рост за весь ряд, +0,555 пп после восьми кварталов снижения.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предложение: уровни по кредитному риску подлежат актуализации, но не равномерной. По одной метрике требуется восстановление в лимит и установление сигнального уровня; по одной — усиление наблюдения; по девяти — пересмотр самих уровней, поскольку в действующей калибровке они не выполняют контрольной функции; по двум — замена метрики. Детально — § 8.</w:t>
      </w:r>
    </w:p>
    <w:p>
      <w:pPr>
        <w:pStyle w:val="Heading2"/>
        <w:spacing w:after="120" w:before="240"/>
      </w:pPr>
      <w:r>
        <w:t xml:space="preserve">1.1. Что подтверждается данными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Формула метрики: доля считается от задолженности за вычетом денежного обеспечения, а не от валовой. Проверено на 521 наблюдении из 521, расхождений нет.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95 % действует с 20.02.2023; до 13.02.2023 действовал уровень 250 %. Ужесточение в 2,63 раза произошло одномоментно.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В момент ужесточения факт составлял 72–80 %, а максимум 2023 года — 80,55 %. Новый уровень встал на 14,5 пп выше максимума, что при тогдашней σ 1,365 пп соответствует примерно семи стандартным отклонениям. Уровень устанавливался от факта с запасом, а не из риск-ёмкости.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 06.11.2017 по 03.05.2026 — восемь с половиной лет — превышений действовавшего уровня не было ни одного. В 2016–2017 годах превышения носили хронический характер: пять эпизодов общей длительностью 353 дня при уровне 250 %.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Сигнальный уровень 88 % сработал бы 02.03.2026 — за 63 дня до пробоя — и не дал бы ни одного ложного срабатывания за 145 наблюдений действующего режима.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Ни один сигнальный уровень по метрикам EL и PD розничного бизнеса не сработал бы ни разу за девять кварталов при любой разумной калибровке.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ожидаемой стоимости риска по КБ отрицателен восемь кварталов из девяти. Односторонний лимит сверху 3 % на такой показатель не может сработать.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Доля портфеля МСБ в полосе рейтингов «Низкий» сократилась с 63,4 % на 01.01.2025 до 39,0 % на 01.07.2026, а доля полосы «Умеренный» выросла с 34,5 % до 60,0 %. Действующая метрика кредитоспособности этого сдвига не показывает: она фиксирует только выдачи выше уровня отсечения 33, которых за период не было.</w:t>
      </w:r>
    </w:p>
    <w:p>
      <w:pPr>
        <w:pStyle w:val="Heading2"/>
        <w:spacing w:after="120" w:before="240"/>
      </w:pPr>
      <w:r>
        <w:t xml:space="preserve">1.2. Стресс-тестирование: результат отдельный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Раздел об оценке приемлемости уровней в стрессе заполнен, но не выводом о приемлемости.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Получены заполненные месячные формы за семь отчётных дат 2026 года (§ 10). В отчётах на 01.01 — 01.05.2026 стрессовый и кризисный сценарии были занижены в 1,84–2,15 раза из-за того, что логарифм фактора брался от предыдущего сценария, а не от факта; дефект выявлен службой внутреннего аудита и исправлен с отчёта на 01.06.2026. Пять отчётов при этом уже вынесены на КУРРиЛ, Правление и Совет директоров, и на этот же период пришёлся пробой уровня по топ-20.</w:t>
      </w:r>
    </w:p>
    <w:p>
      <w:pPr>
        <w:spacing w:after="120" w:line="264"/>
      </w:pPr>
      <w:r>
        <w:rPr>
          <w:sz w:val="20"/>
          <w:szCs w:val="20"/>
        </w:rPr>
        <w:t xml:space="preserve">После исправления месячная форма даёт пригодные значения, но оценку приемлемости уровней по ней построить нельзя: её выход не выражен в метриках заявления риск-аппетита, коэффициента топ-20 и стоимости риска в ней нет, а годовой прогон по общеэкономическому сценарию — тот единственный, что выдаёт сопоставимые метрики, — последний раз утверждался за 2024 год.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одно значение считается сразу и без новой модели: стрессовый собственный капитал рассчитывается на листе 1.2 Приложения № 2, а он же является знаменателем метрики топ-20. Повторение фактического шока первого квартала 2026 года при неизменном портфеле даёт долю 126,34 % против уровня 95 %. Возврат в уровень требует роста капитала на 6,85 % либо сокращения задолженности топ-20 на 6,41 %, то есть примерно на 28,8 млрд ₸.</w:t>
      </w:r>
    </w:p>
    <w:p>
      <w:pPr>
        <w:pStyle w:val="Heading2"/>
        <w:spacing w:after="120" w:before="240"/>
      </w:pPr>
      <w:r>
        <w:t xml:space="preserve">1.3. Чего в записке пока нет</w:t>
      </w:r>
    </w:p>
    <w:p>
      <w:pPr>
        <w:spacing w:after="120" w:line="264"/>
      </w:pPr>
      <w:r>
        <w:rPr>
          <w:sz w:val="20"/>
          <w:szCs w:val="20"/>
        </w:rPr>
        <w:t xml:space="preserve">Два входа остаются внешними.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Раздел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нужно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Причина снижения капитала в Q1 2026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Собственный капитал сократился на 107,7 млрд ₸ за квартал. Это основной драйвер нарушения, и без объяснения причины предложения по мерам реагирования не формулируются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Протоколы СД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Решение, которым уровень был изменён с 250 % на 95 % в феврале 2023, и расчёт, положенный в его основу. Дата смены установлена по данным (§ 4.2), решение — нет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2. Динамика за девять кварталов</w:t>
      </w:r>
    </w:p>
    <w:p>
      <w:pPr>
        <w:spacing w:after="120" w:line="264"/>
      </w:pPr>
      <w:r>
        <w:rPr>
          <w:sz w:val="20"/>
          <w:szCs w:val="20"/>
        </w:rPr>
        <w:t xml:space="preserve">Значения в процентах. Источник — форма 50-5. Полужирным выделено нарушение лимита.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blHeader/>
        </w:trPr>
        <w:tc>
          <w:tcPr>
            <w:tcW w:type="dxa" w:w="2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Мера риска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24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Q3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Q4 25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Q1 26</w:t>
            </w:r>
          </w:p>
        </w:tc>
        <w:tc>
          <w:tcPr>
            <w:tcW w:type="dxa" w:w="86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Q2 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6"/>
                <w:szCs w:val="16"/>
              </w:rPr>
              <w:t xml:space="preserve">Топ-20 / СК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73,74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74,18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69,52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74,07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76,74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77,07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75,62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92,66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101,50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КБ / ПБ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−1,77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−1,28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CoR МСБ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−0,85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−0,35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−2,06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−1,51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−0,98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общий РБ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3,86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необеспеченный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7,91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7,57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обеспеченный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1,64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EL прочий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3,24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2,83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2,70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2,62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2,47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необеспеченные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12,01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11,55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11,23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10,96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денежные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12,17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11,96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11,72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11,34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11,05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товарные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11,41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11,00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10,89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10,38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10,63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10,59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обеспеченные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5,31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5,22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5,13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5,15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5,10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5,01</w:t>
            </w:r>
          </w:p>
        </w:tc>
      </w:tr>
      <w:tr>
        <w:trPr>
          <w:tblHeader w:val="false"/>
        </w:trPr>
        <w:tc>
          <w:tcPr>
            <w:tcW w:type="dxa" w:w="2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6"/>
                <w:szCs w:val="16"/>
              </w:rPr>
              <w:t xml:space="preserve">PD прочие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4,90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4,59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4,46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4,32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4,19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4,27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4,09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3,78</w:t>
            </w:r>
          </w:p>
        </w:tc>
        <w:tc>
          <w:tcPr>
            <w:tcW w:type="dxa" w:w="86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6"/>
                <w:szCs w:val="16"/>
              </w:rPr>
              <w:t xml:space="preserve">3,66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коэффициенту топ-20 доступен недельный ряд с 2016 года; квартальные значения в таблице совпадают с ним. Для сопоставления приведены и метрики за пределами кредитного периметра, поскольку они меняют общую картину: VaR вырос с 0,25 % в Q4 2025 до 0,55 % в Q2 2026, то есть более чем вдвое за два квартала при лимите 1 %; коэффициент достаточности собственного капитала k2 снизился с 27,6 % в Q3 2025 до 22,9 % в Q2 2026; агрегированный уровень риска ликвидности ALRI в Q1 2026 составил 97,32 % при границе зелёной зоны 100 %, а NSFR — 113,11 % при границе 115 %.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Последнее означает, что в Q1 2026 два триггера из восьми установленных находились в жёлтой зоне.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Триггеры установлены Приложением № 2 к Методике определения и расчёта агрегированных уровней риск-аппетита. Вопрос, какие корректирующие меры были приняты по факту входа в жёлтую зону, относится к мероприятию 4 и здесь только фиксируется.</w:t>
      </w:r>
    </w:p>
    <w:p>
      <w:pPr>
        <w:pStyle w:val="Heading1"/>
        <w:spacing w:after="160" w:before="320"/>
      </w:pPr>
      <w:r>
        <w:t xml:space="preserve">3. Расстояние до лимита в единицах собственной волатильности</w:t>
      </w:r>
    </w:p>
    <w:p>
      <w:pPr>
        <w:spacing w:after="120" w:line="264"/>
      </w:pPr>
      <w:r>
        <w:rPr>
          <w:sz w:val="20"/>
          <w:szCs w:val="20"/>
        </w:rPr>
        <w:t xml:space="preserve">Утилизация показывает, какую долю лимита занимает факт. Она ничего не говорит о том, способен ли показатель дойти до лимита. Второй столбец справа отвечает на этот вопрос: расстояние до лимита, делённое на стандартное отклонение квартальных приращений самой метрики за девять кварталов.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50"/>
        <w:gridCol w:w="1150"/>
        <w:gridCol w:w="1150"/>
        <w:gridCol w:w="1150"/>
        <w:gridCol w:w="1400"/>
        <w:gridCol w:w="1400"/>
      </w:tblGrid>
      <w:tr>
        <w:trPr>
          <w:tblHeader/>
        </w:trPr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Факт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Лимит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Утил.</w:t>
            </w:r>
          </w:p>
        </w:tc>
        <w:tc>
          <w:tcPr>
            <w:tcW w:type="dxa" w:w="11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σ прирост.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Расстояние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 σ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107 %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2,93 *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−6,50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нарушен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0,27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10,59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23,9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5,01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72 %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1,99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11,05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74 %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3,95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РБ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2,76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31 %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0,18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10,96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45,1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2,47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7,53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47,6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1,64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23 %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0,09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5,36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3,66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90,6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−0,35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отриц.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0,63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3,35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н/п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0,26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3,50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0,74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3,24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4,4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VaR (вне периметра)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0,55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55 %</w:t>
            </w:r>
          </w:p>
        </w:tc>
        <w:tc>
          <w:tcPr>
            <w:tcW w:type="dxa" w:w="11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0,11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0,45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4,0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* По коэффициенту топ-20 σ рассчитана по стабильному участку Q2 2024 — Q4 2025, до скачка. На полном ряде σ составляет 6,37 пп и не характеризует режим, в котором показатель находился восемь кварталов.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Порог интерпретации. Расстояние до 10 σ означает, что лимит достижим при неблагоприятном стечении нескольких кварталов и метрика заслуживает сигнального уровня. Расстояние свыше 20 σ означает, что лимит не будет достигнут иначе как при структурном разрыве — смене модели, методики или периметра, — и тогда сработает не риск, а изменение определения показателя. Из тринадцати метрик с положительным расстоянием девять находятся за пределами 20 σ.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Коэффициент топ-20 крупных заёмщиков к собственному капиталу</w:t>
      </w:r>
    </w:p>
    <w:p>
      <w:pPr>
        <w:pStyle w:val="Heading2"/>
        <w:spacing w:after="120" w:before="240"/>
      </w:pPr>
      <w:r>
        <w:t xml:space="preserve">4.1. Как считается</w:t>
      </w:r>
    </w:p>
    <w:p>
      <w:pPr>
        <w:spacing w:after="120" w:line="264"/>
      </w:pPr>
      <w:r>
        <w:rPr>
          <w:sz w:val="20"/>
          <w:szCs w:val="20"/>
        </w:rPr>
        <w:t xml:space="preserve">Формула установлена на данных и проверена на всём недельном ряде: доля равна отношению задолженности топ-20 за вычетом денежного обеспечения к собственному капиталу. Расчётное значение совпало с отчётным в 521 наблюдении из 521 в пределах 0,5 пп.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На отчётную дату: (486 521 − 35 652) / 440 317 — по оперативному расчёту на 30.06.2026, и 448 999,8 / 442 346,3 = 101,50 % — по форме 50 на 01.07.2026. То есть «Сумма топ-20 крупных заёмщиков» в отчёте об уровнях риск-аппетита приводится уже за вычетом денежного обеспечения. В самом отчёте это не оговорено, и из названия строки не следует.</w:t>
      </w:r>
    </w:p>
    <w:p>
      <w:pPr>
        <w:pStyle w:val="Heading2"/>
        <w:spacing w:after="120" w:before="240"/>
      </w:pPr>
      <w:r>
        <w:t xml:space="preserve">4.2. История уровня</w:t>
      </w:r>
    </w:p>
    <w:p>
      <w:pPr>
        <w:spacing w:after="120" w:line="264"/>
      </w:pPr>
      <w:r>
        <w:rPr>
          <w:sz w:val="20"/>
          <w:szCs w:val="20"/>
        </w:rPr>
        <w:t xml:space="preserve">Уровень пересматривался. По данным оперативных файлов: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900"/>
      </w:tblGrid>
      <w:tr>
        <w:trPr>
          <w:tblHeader/>
        </w:trPr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 действия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2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Первый файл с новым уровнем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13.02.2023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376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20.02.2023 — 10.08.2026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145</w:t>
            </w:r>
          </w:p>
        </w:tc>
        <w:tc>
          <w:tcPr>
            <w:tcW w:type="dxa" w:w="2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20_02_2023 TOP20 за 17_02_2023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Ужесточение в 2,63 раза произошло одномоментно, между 13 и 20 февраля 2023 года. Решения уполномоченного органа, которым оно вводилось, у нас нет — установлена только дата по данным.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Как устанавливался новый уровень, видно из данных.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момент смены факт составлял 72–80 %, максимум 2023 года — 80,55 %, стандартное отклонение недельных приращений — 1,365 пп. Уровень 95 % встал на 14,5 пп выше максимума, то есть примерно на семь стандартных отклонений. Это калибровка «от факта плюс запас», а не от риск-ёмкости и не от стресс-сценария. Тем самым уровень с самого начала не был ограничением: за три года действия он ни разу не приблизился к факту, пока не изменился капитал.</w:t>
      </w:r>
    </w:p>
    <w:p>
      <w:pPr>
        <w:pStyle w:val="Heading2"/>
        <w:spacing w:after="120" w:before="240"/>
      </w:pPr>
      <w:r>
        <w:t xml:space="preserve">4.3. Превышения за десять лет</w:t>
      </w:r>
    </w:p>
    <w:p>
      <w:pPr>
        <w:spacing w:after="120" w:line="264"/>
      </w:pPr>
      <w:r>
        <w:rPr>
          <w:sz w:val="20"/>
          <w:szCs w:val="20"/>
        </w:rPr>
        <w:t xml:space="preserve">Эпизоды посчитаны относительно уровня, действовавшего на соответствующую дату, а не относительно текущего.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400"/>
        <w:gridCol w:w="1600"/>
        <w:gridCol w:w="1500"/>
        <w:gridCol w:w="1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Наблюдений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Дней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Максимум</w:t>
            </w:r>
          </w:p>
        </w:tc>
        <w:tc>
          <w:tcPr>
            <w:tcW w:type="dxa" w:w="1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Комментарий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11.05.2016 — 31.10.2016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174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300,51 %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хронический характер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14.11.2016 — 21.11.2016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250,77 %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20.02.2017 — 27.03.2017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261,92 %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10.04.2017 — 03.07.2017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260,29 %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18.09.2017 — 06.11.2017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262,43 %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04.05.2026 — 10.08.2026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99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103,11 %</w:t>
            </w:r>
          </w:p>
        </w:tc>
        <w:tc>
          <w:tcPr>
            <w:tcW w:type="dxa" w:w="1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продолжается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Между 06.11.2017 и 03.05.2026 превышений не было ни одного — восемь лет и шесть месяцев.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Показатель за это время снизился с 276 % в среднем по 2016 году до 59 % в 2020 году и далее держался в коридоре 66–84 %. Текущее нарушение — первое за восемь с половиной лет и второй режим превышений за всю наблюдаемую историю.</w:t>
      </w:r>
    </w:p>
    <w:p>
      <w:pPr>
        <w:spacing w:after="120" w:line="264"/>
      </w:pPr>
      <w:r>
        <w:rPr>
          <w:sz w:val="20"/>
          <w:szCs w:val="20"/>
        </w:rPr>
        <w:t xml:space="preserve">На последнюю дату ряда, 10.08.2026, показатель составляет 96,10 % — эпизод продолжается 99 дней и на момент подготовки записки не завершён.</w:t>
      </w:r>
    </w:p>
    <w:p>
      <w:pPr>
        <w:pStyle w:val="Heading2"/>
        <w:spacing w:after="120" w:before="240"/>
      </w:pPr>
      <w:r>
        <w:t xml:space="preserve">4.4. Что вызвало нарушение</w:t>
      </w:r>
    </w:p>
    <w:p>
      <w:pPr>
        <w:spacing w:after="120" w:line="264"/>
      </w:pPr>
      <w:r>
        <w:rPr>
          <w:sz w:val="20"/>
          <w:szCs w:val="20"/>
        </w:rPr>
        <w:t xml:space="preserve">Приращение доли разложено на вклад числителя и знаменателя точно: Δ = (N₁ − N₀)/E₀ + N₁·(E₀ − E₁)/(E₀·E₁), где N — задолженность за вычетом обеспечения, E — собственный капитал.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1900"/>
        <w:gridCol w:w="1900"/>
        <w:gridCol w:w="12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Квартал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доли,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портфеля, пп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 капитала, пп</w:t>
            </w:r>
          </w:p>
        </w:tc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Δ СК, %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77,14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+4,29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+4,76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−0,47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+0,60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Q4 2025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75,15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−1,93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Q1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89,82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+14,67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−2,99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+17,66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−19,66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Q2 2026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102,40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+12,57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+12,63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−0,06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+0,06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Q3 2026 (на 10.08)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96,10</w:t>
            </w:r>
          </w:p>
        </w:tc>
        <w:tc>
          <w:tcPr>
            <w:tcW w:type="dxa" w:w="1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−6,30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−5,85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−0,44</w:t>
            </w:r>
          </w:p>
        </w:tc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+0,46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Два последовательных квартала, две разные причины.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Q1 2026 доля выросла на 14,67 пп при сокращении портфеля топ-20 на 2,49 % — весь прирост дал знаменатель: собственный капитал сократился с 547,7 до 440,1 млрд ₸, то есть на 107,7 млрд, или 19,66 %. В Q2 2026 капитал не изменился, а портфель вырос на 12,32 % — прирост доли целиком объясняется числителем.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Суммарно за два квартала доля выросла на 27,25 пп, из которых 20,08 пп (74 %) приходится на капитал и 7,16 пп (26 %) — на портфель.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Более того, уровень держался капиталом и до этого.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Вклад капитала в изменение доли был отрицательным почти во всех кварталах 2023–2025 годов: −3,70, −5,22, −2,86, −2,45, −3,03, −2,99, −0,47, −0,06 пп. Капитал рос и гасил рост портфеля, который давал +2,57, +7,83, +4,13, +3,49, +4,76 пп. Три года показатель держался в коридоре 71–78 % не потому, что концентрацией управляли, а потому что знаменатель рос теми же темпами, что числитель. Как только рост капитала прекратился — во втором квартале 2025 года, — а затем сменился падением, уровень был пробит.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Практическое следствие для мер реагирования: перечень мер по красной зоне, построенный вокруг ограничения выдач в сегменте-драйвере, адресует причину только одного из двух кварталов. Для сценария «падение знаменателя» нужны иные меры и иной адресат.</w:t>
      </w:r>
    </w:p>
    <w:p>
      <w:pPr>
        <w:pStyle w:val="Heading2"/>
        <w:spacing w:after="120" w:before="240"/>
      </w:pPr>
      <w:r>
        <w:t xml:space="preserve">4.5. Что метрика не измеряет</w:t>
      </w:r>
    </w:p>
    <w:p>
      <w:pPr>
        <w:spacing w:after="120" w:line="264"/>
      </w:pPr>
      <w:r>
        <w:rPr>
          <w:sz w:val="20"/>
          <w:szCs w:val="20"/>
        </w:rPr>
        <w:t xml:space="preserve">Сумма топ-20 составляет 448 999,8 млн ₸ при рейтингуемом портфеле КБ 454 093,0 млн ₸, то есть 98,9 % корпоративного портфеля. При таком соотношении показатель измеряет отношение размера корпоративного портфеля к капиталу, а не концентрацию: перераспределение экспозиции внутри топ-20 или переход от двадцати заёмщиков к пяти его не изменят. Динамика за три года это подтверждает: показатель двигался капиталом, а не структурой портфеля.</w:t>
      </w:r>
    </w:p>
    <w:p>
      <w:pPr>
        <w:spacing w:after="120" w:line="264"/>
      </w:pPr>
      <w:r>
        <w:rPr>
          <w:sz w:val="20"/>
          <w:szCs w:val="20"/>
        </w:rPr>
        <w:t xml:space="preserve">П. 14 Политики формулирует намерение как «не желает иметь высокую концентрацию топ-20 крупных заёмщиков к размеру капитала», а п. 16 подпункт 3 Правил № 86 требует учитывать все существенные риски концентрации — на клиента, на валюту, страновой, на сегменты рынка. Ни одной метрики концентрации в этом смысле в заявлении риск-аппетита нет.</w:t>
      </w:r>
    </w:p>
    <w:p>
      <w:pPr>
        <w:spacing w:after="120" w:line="264"/>
      </w:pPr>
      <w:r>
        <w:rPr>
          <w:sz w:val="20"/>
          <w:szCs w:val="20"/>
        </w:rPr>
        <w:t xml:space="preserve">Соотношение с регуляторной нормой: Правила № 85 устанавливают k3 не более 0,25 от собственного капитала на одного заёмщика и k3-1 не более 0,10 для связанных лиц, а совокупная сумма рисков по заёмщикам, риск по каждому из которых превышает 10 % капитала, не превышает пятикратного капитала. Внутренняя метрика жёстче регуляторной конструкции более чем в пять раз и отбирает другую совокупность. Её превышение существенно для внутреннего управления и не является нарушением пруденциального норматива — это надо указать прямо при вынесении на УО.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действующий уровень как ограничение размера корпоративного портфеля относительно капитала, переименовав метрику в соответствии с тем, что она измеряет, и дополнительно ввести собственно метрики концентрации — доля топ-1 и топ-10 в портфеле КБ, индекс Херфиндаля — Хиршмана, отраслевая и валютная концентрация. Расчёт по имеющимся данным возможен без нового сбора.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Уровень ожидаемой стоимости риска</w:t>
      </w: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и приват-банкингу показатель отрицателен в восьми кварталах из девяти: от −2,09 % в Q2 2024 до −0,35 % в Q2 2026, единственное положительное значение 0,01 % в Q1 2025. По малому и среднему бизнесу отрицателен в семи кварталах из девяти и развернулся в положительную зону в 2026 году: 0,20 % в Q1 и 0,26 % в Q2.</w:t>
      </w:r>
    </w:p>
    <w:p>
      <w:pPr>
        <w:spacing w:after="120" w:line="264"/>
      </w:pPr>
      <w:r>
        <w:rPr>
          <w:sz w:val="20"/>
          <w:szCs w:val="20"/>
        </w:rPr>
        <w:t xml:space="preserve">Односторонний лимит сверху 3 % на показатель, устойчиво находящийся ниже нуля, не может сработать: расстояние до лимита составляет 3,35 пп при типичном квартальном изменении 0,63 пп, а направление движения всё это время было противоположным.</w:t>
      </w:r>
    </w:p>
    <w:p>
      <w:pPr>
        <w:spacing w:after="120" w:line="264"/>
      </w:pPr>
      <w:r>
        <w:rPr>
          <w:sz w:val="20"/>
          <w:szCs w:val="20"/>
        </w:rPr>
        <w:t xml:space="preserve">П. 15 Политики определяет показатель как рассчитываемый «с учётом общих бюджетных показателей по финансированию». То есть уровень является производной бюджета, а не результатом калибровки под риск. Это объясняет и величину, и то, что она не менялась при устойчиво отрицательном факте.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односторонний лимит двусторонним коридором либо перевести метрику на новые выдачи, где она измеряет стоимость риска принимаемого потока, а не сальдо по портфелю с учётом роспуска провизий. До принятия решения сигнальный уровень по этой метрике не устанавливать: зона внутри лимита, который не может быть достигнут, контроля не создаёт.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Отдельно: на листе 50-2 отчёта лимит по МСБ указан как 3,3 %, тогда как в Приложении № 3 к Политике и на листе 50-1 он составляет 3,5 %. Расхождение в тексте выводов отчёта.</w:t>
      </w:r>
    </w:p>
    <w:p>
      <w:pPr>
        <w:pStyle w:val="Heading1"/>
        <w:spacing w:after="160" w:before="320"/>
      </w:pPr>
      <w:r>
        <w:t xml:space="preserve">6. Кредитоспособность по внутреннему рейтингу</w:t>
      </w:r>
    </w:p>
    <w:p>
      <w:pPr>
        <w:pStyle w:val="Heading2"/>
        <w:spacing w:after="120" w:before="240"/>
      </w:pPr>
      <w:r>
        <w:t xml:space="preserve">6.1. Действующая метрика слепа к сдвигу, который уже измеряется</w:t>
      </w:r>
    </w:p>
    <w:p>
      <w:pPr>
        <w:spacing w:after="120" w:line="264"/>
      </w:pPr>
      <w:r>
        <w:rPr>
          <w:sz w:val="20"/>
          <w:szCs w:val="20"/>
        </w:rPr>
        <w:t xml:space="preserve">Метрика в заявлении риск-аппетита сформулирована как «выданные займы при уровне отсечения выше 33» с целевым значением 0. За рассматриваемый квартал таких выдач не было ни по КБ, ни по МСБ, как и в предыдущих периодах. Показатель бинарен: между нулём и единицей промежуточного состояния нет, и сигнальный уровень к нему неприменим.</w:t>
      </w:r>
    </w:p>
    <w:p>
      <w:pPr>
        <w:spacing w:after="120" w:line="264"/>
      </w:pPr>
      <w:r>
        <w:rPr>
          <w:sz w:val="20"/>
          <w:szCs w:val="20"/>
        </w:rPr>
        <w:t xml:space="preserve">При этом мастер-шкала (Приложение № 4 к Политике) градуирована от 1 до 50 и уже разделена на три полосы: 1–13, 14–33 и 34–50, причём в самом приложении они окрашены в зелёный, жёлтый и красный цвета. Первые две отнесены к приемлемому уровню, третья — к неприемлемому.</w:t>
      </w:r>
    </w:p>
    <w:p>
      <w:pPr>
        <w:spacing w:after="120" w:line="264"/>
      </w:pPr>
      <w:r>
        <w:rPr>
          <w:sz w:val="20"/>
          <w:szCs w:val="20"/>
        </w:rPr>
        <w:t xml:space="preserve">Более того, отчёт на листе 50-2 уже содержит распределение портфеля по трём группам рейтингов в динамике за пять дат. То есть данные для градуированного показателя собираются и печатаются в том же документе, но в заявление риск-аппетита не попадают.</w:t>
      </w:r>
    </w:p>
    <w:p>
      <w:pPr>
        <w:pStyle w:val="Heading2"/>
        <w:spacing w:after="120" w:before="240"/>
      </w:pPr>
      <w:r>
        <w:t xml:space="preserve">6.2. Что показывает имеющийся ряд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Сегмент / группа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01.01.2023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01.01.2024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01.01.2025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01.01.2026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01.07.2026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19,37 %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26,21 %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11,13 %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27,88 %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64,95 %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79,04 %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69,52 %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86,80 %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70,28 %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15,68 %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5,20 %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4,28 %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1,84 %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низкий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44,40 %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64,80 %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63,42 %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53,75 %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39,02 %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умеренный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48,17 %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32,03 %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34,52 %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59,98 %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МСБ — высокий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7,43 %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3,17 %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2,06 %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0,82 %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1,00 %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корпоративному бизнесу картина благоприятная: доля высокой группы сократилась с 15,68 % до 1,84 %, доля низкой в последнем периоде выросла до 27,88 %.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По малому и среднему бизнесу картина обратная.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Доля низкой группы сократилась с 63,42 % на 01.01.2025 до 39,02 % на 01.07.2026 — на 24,4 пп за полтора года, при этом умеренная группа выросла с 34,52 % до 59,98 %. Это устойчивый сдвиг структуры портфеля в сторону худших рейтингов внутри приемлемой зоны. Действующая метрика риск-аппетита его не фиксирует вообще, поскольку граница отсечения проходит по 33, а сдвиг происходит внутри полосы 14–33.</w:t>
      </w:r>
    </w:p>
    <w:p>
      <w:pPr>
        <w:pStyle w:val="Heading2"/>
        <w:spacing w:after="120" w:before="240"/>
      </w:pPr>
      <w:r>
        <w:t xml:space="preserve">6.3. Покрытие рейтингами</w:t>
      </w:r>
    </w:p>
    <w:p>
      <w:pPr>
        <w:spacing w:after="120" w:line="264"/>
      </w:pPr>
      <w:r>
        <w:rPr>
          <w:sz w:val="20"/>
          <w:szCs w:val="20"/>
        </w:rPr>
        <w:t xml:space="preserve">По МСБ без внутреннего рейтинга находится 721 заёмщик на 27 694,8 млн ₸ — 23,22 % портфеля по остатку при общем портфеле 119 253,3 млн ₸ и 1 116 заёмщиках. По КБ без рейтинга 3 заёмщика на 693,5 млн ₸, или 0,15 % портфеля 454 093,0 млн ₸.</w:t>
      </w:r>
    </w:p>
    <w:p>
      <w:pPr>
        <w:spacing w:after="120" w:line="264"/>
      </w:pPr>
      <w:r>
        <w:rPr>
          <w:sz w:val="20"/>
          <w:szCs w:val="20"/>
        </w:rPr>
        <w:t xml:space="preserve">Соблюдение лимита по уровню отсечения доказано по МСБ на 76,8 % портфеля. Оставшиеся 23,2 % находятся вне периметра измерения, и утверждение о соблюдении на них не распространяется.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Предложение.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Заменить бинарную метрику на две градуированные, обе рассчитываемые на существующих данных: доля портфеля в полосе рейтингов 14–33 и доля портфеля с действующим внутренним рейтингом. Первая делает наблюдаемым сдвиг, который сейчас невидим; вторая закрывает вопрос покрытия и стыкуется с требованиями Правил № 61 к рейтинговым моделям и их независимой валидации. Бинарный показатель выдач выше отсечения при этом сохранить как контрольный, но перенести из заявления риск-аппетита в систему внутреннего контроля.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Метрики розничного бизнеса</w:t>
      </w:r>
    </w:p>
    <w:p>
      <w:pPr>
        <w:pStyle w:val="Heading2"/>
        <w:spacing w:after="120" w:before="240"/>
      </w:pPr>
      <w:r>
        <w:t xml:space="preserve">7.1. Девять метрик, ни одного срабатывания</w:t>
      </w:r>
    </w:p>
    <w:p>
      <w:pPr>
        <w:spacing w:after="120" w:line="264"/>
      </w:pPr>
      <w:r>
        <w:rPr>
          <w:sz w:val="20"/>
          <w:szCs w:val="20"/>
        </w:rPr>
        <w:t xml:space="preserve">За девять кварталов ни одна из девяти метрик РБ не приблизилась к своему лимиту. Восемь из девяти показывают устойчивое снижение или стабильность. Расстояния до лимитов составляют от 9,1 σ по необеспеченному EL до 90,6 σ по PD прочих кредитных продуктов.</w:t>
      </w:r>
    </w:p>
    <w:p>
      <w:pPr>
        <w:pStyle w:val="Heading2"/>
        <w:spacing w:after="120" w:before="240"/>
      </w:pPr>
      <w:r>
        <w:t xml:space="preserve">7.2. Единственное исключение</w:t>
      </w:r>
    </w:p>
    <w:p>
      <w:pPr>
        <w:spacing w:after="120" w:line="264"/>
      </w:pPr>
      <w:r>
        <w:rPr>
          <w:sz w:val="20"/>
          <w:szCs w:val="20"/>
        </w:rPr>
        <w:t xml:space="preserve">Уровень ожидаемых потерь по необеспеченному портфелю снижался восемь кварталов подряд — с 7,91 % до 7,01 %, — а в Q2 2026 вырос до 7,57 %. Прирост +0,555 пп является максимальным по модулю за весь ряд и в два с лишним раза превышает стандартное отклонение приращений 0,266 пп.</w:t>
      </w:r>
    </w:p>
    <w:p>
      <w:pPr>
        <w:spacing w:after="120" w:line="264"/>
      </w:pPr>
      <w:r>
        <w:rPr>
          <w:sz w:val="20"/>
          <w:szCs w:val="20"/>
        </w:rPr>
        <w:t xml:space="preserve">Одновременно вырос уровень ожидаемых потерь по обеспеченному портфелю: с 1,43 % в Q4 2025 до 1,64 % в Q2 2026, третий квартал роста подряд. И по прочему портфелю: с 2,29 % до 2,47 %.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При этом все метрики PD продолжают снижаться. Рост EL при снижающемся PD означает изменение уровня потерь в случае дефолта либо структуры экспозиции, а не ухудшение платёжной дисциплины. Разложение EL на составляющие в отчёте отсутствует и должно быть запрошено — это существенно для вывода, является ли рост разовым.</w:t>
      </w:r>
    </w:p>
    <w:p>
      <w:pPr>
        <w:pStyle w:val="Heading2"/>
        <w:spacing w:after="120" w:before="240"/>
      </w:pPr>
      <w:r>
        <w:t xml:space="preserve">7.3. Избыточность внутри набора</w:t>
      </w:r>
    </w:p>
    <w:p>
      <w:pPr>
        <w:spacing w:after="120" w:line="264"/>
      </w:pPr>
      <w:r>
        <w:rPr>
          <w:sz w:val="20"/>
          <w:szCs w:val="20"/>
        </w:rPr>
        <w:t xml:space="preserve">Из девяти метрик независимы не все.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Уровень ожидаемых потерь по общему портфелю РБ является взвешенным средним трёх субпортфелей и при доминировании обеспеченного портфеля с EL 1,64 % не может сработать раньше субпортфельного лимита по необеспеченному. За девять кварталов агрегат не приближался к лимиту 9 % ни разу, максимум составил 3,86 %.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PD по необеспеченным кредитам является взвешенным средним PD по денежным и товарным кредитам, что видно по ряду: агрегат всё девять кварталов находится строго между двумя составляющими. Лимит по всем трём одинаков и равен 15 %, тогда как денежные и товарные кредиты имеют разную экономику. Расхождение между продуктовыми PD за период не превышало 1,7 пп, что не даёт эмпирического основания ни для единого лимита, ни против него.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0"/>
          <w:szCs w:val="20"/>
        </w:rPr>
        <w:t xml:space="preserve">По обеспеченному портфелю отношение EL к PD составляет 0,327. При PD, равном лимиту 7 %, и неизменном отношении EL составит около 2,29 % при лимите 7 %, то есть лимит EL не может быть нарушен, пока соблюдается лимит PD. Из двух метрик по обеспеченному портфелю контрольную функцию несёт одна.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Предложение: сохранить в заявлении риск-аппетита PD по денежным кредитам, PD по товарным кредитам, PD по обеспеченным кредитам и EL по необеспеченному портфелю; агрегированные EL по общему портфелю и PD по необеспеченным кредитам вывести из заявления в состав управленческой отчётности; EL по обеспеченному портфелю исключить как недостижимый при действующем лимите PD. Уровни по сохраняемым метрикам пересмотреть по § 8.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Предложения по каждому из четырнадцати уровней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400"/>
        <w:gridCol w:w="49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Мера риска</w:t>
            </w:r>
          </w:p>
        </w:tc>
        <w:tc>
          <w:tcPr>
            <w:tcW w:type="dxa" w:w="1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Действ. уровень</w:t>
            </w:r>
          </w:p>
        </w:tc>
        <w:tc>
          <w:tcPr>
            <w:tcW w:type="dxa" w:w="1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4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Обоснование и предлагаемое действие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Топ-20 / СК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 уровень, обосновать заново,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Уровень пересматривался в феврале 2023 с 250 % на 95 % и калибровался от факта с запасом, а не от риск-ёмкости (§ 4.2) — обоснование требуется восстановить заново. Сам уровень сохранить: за десять лет он ограничивал показатель дважды. Добавить сигнальный уровень 88 % и триггер по скорости (§ 9). Метрику переименовать под то, что она измеряет, и дополнить метриками концентрации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КБ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Бинарный показатель не поддерживает зонирование. Заменить на долю портфеля в полосе 14–33 и долю портфеля с действующим рейтингом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КБ / ПБ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Восемь кварталов из девяти факт отрицателен. Двусторонний коридор либо перевод на новые выдачи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Кредитоспособность МСБ (отсечение 33)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 выдач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Заменить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То же, что по КБ. Дополнительно: покрытие рейтингами 76,8 %, соблюдение доказано не на всём портфеле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CoR МСБ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3,5 %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конструкцию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Семь кварталов из девяти факт отрицателен, разворот в плюс в 2026 году. Устранить расхождение 3,3 % против 3,5 % в тексте отчёта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общий портфель РБ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9 %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субпортфелей; максимум за девять кварталов 3,86 % при лимите 9 %. Дублирует субпортфельный контроль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необеспеченный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Сохранить, добавить сигнальный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Единственная метрика РБ с расстоянием менее 10 σ. В Q2 2026 максимальный рост за ряд. Сигнальный уровень 8,5 %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обеспеченный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Исключить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 может быть нарушен, пока соблюдается лимит PD 7 % по тому же субпортфелю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EL прочий портфель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10 %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47,6 σ до лимита. Уровень не выполняет контрольной функции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необеспеченные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Вывести из заявления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Взвешенное среднее денежных и товарных; отдельной информации не несёт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денежные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31,6 σ до лимита при монотонном снижении девять кварталов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товарные кредиты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15 %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23,9 σ до лимита. Продуктовая калибровка вместо единого сегментного уровня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обеспеченные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7 %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25,4 σ до лимита; ряд практически плоский, σ 0,08 пп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PD прочие кредитные продукты</w:t>
            </w:r>
          </w:p>
        </w:tc>
        <w:tc>
          <w:tcPr>
            <w:tcW w:type="dxa" w:w="1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≤ 14 %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Пересмотреть уровень</w:t>
            </w:r>
          </w:p>
        </w:tc>
        <w:tc>
          <w:tcPr>
            <w:tcW w:type="dxa" w:w="4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90,6 σ до лимита — наибольший отрыв в наборе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Ограничение.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Предложения по пересмотру уровней сформулированы по наблюдаемой динамике. Конкретные новые значения в настоящей версии не предлагаются: для их обоснования нужны результаты стресс-тестирования (п. 16 подпункт 7 и п. 18 Правил № 86 требуют, чтобы уровни учитывали обоснованные допущения, подкреплённые стресс-тестом) и исходные расчёты действующих уровней. Оба входа перечислены в § 1.2.</w:t>
      </w:r>
    </w:p>
    <w:p>
      <w:pPr>
        <w:spacing w:after="120" w:line="264"/>
      </w:pPr>
      <w:r>
        <w:rPr>
          <w:sz w:val="20"/>
          <w:szCs w:val="20"/>
        </w:rPr>
        <w:t xml:space="preserve">Также требуется проверка на укладываемость в агрегированный уровень риск-аппетита: п. 18 часть 6 Правил № 86 и п. 29 Стратегии допускают пересмотр уровней по отдельным видам риска в течение года только в рамках агрегированного уровня.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Сигнальные уровни: калибровка и проверка на истории</w:t>
      </w:r>
    </w:p>
    <w:p>
      <w:pPr>
        <w:spacing w:after="120" w:line="264"/>
      </w:pPr>
      <w:r>
        <w:rPr>
          <w:sz w:val="20"/>
          <w:szCs w:val="20"/>
        </w:rPr>
        <w:t xml:space="preserve">П. 18 подпункт 2 Правил № 86 предусматривает уровень, определённый как допустимый, но требующий отдельных корректирующих мер. По восьми метрикам капитала и ликвидности такие уровни установлены Приложением № 2 к Методике. По кредитному риску они отсутствуют.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Калибровка по топ-20 выполнена на недельном ряде: 145 наблюдений с 20.02.2023, то есть за весь период действия текущего уровня 95 %. Наблюдения более раннего периода в калибровку не включаются: до 13.02.2023 действовал уровень 250 %, и значения 78–100 %, встречавшиеся в 2019 году, были тогда нормой, а не сигналом.</w:t>
      </w:r>
    </w:p>
    <w:p>
      <w:pPr>
        <w:pStyle w:val="Heading2"/>
        <w:spacing w:after="120" w:before="240"/>
      </w:pPr>
      <w:r>
        <w:t xml:space="preserve">9.1. Уровневый триггер по топ-20</w:t>
      </w:r>
    </w:p>
    <w:p>
      <w:pPr>
        <w:spacing w:after="120" w:line="264"/>
      </w:pPr>
      <w:r>
        <w:rPr>
          <w:sz w:val="20"/>
          <w:szCs w:val="20"/>
        </w:rPr>
        <w:t xml:space="preserve">Максимум показателя в текущем режиме до начала нарушения — 83,93 % (2024 год). Стандартное отклонение недельных приращений — около 1,8 пп. Отсюда любой порог от 84 % и выше не даёт ложных срабатываний в актуальном режиме; выбор внутри диапазона определяется запасом от шума и длиной предупреждения.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200"/>
        <w:gridCol w:w="1900"/>
        <w:gridCol w:w="1800"/>
      </w:tblGrid>
      <w:tr>
        <w:trPr>
          <w:tblHeader/>
        </w:trPr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Над максимумом режима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Предупреждение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Ложных с 20.02.2023</w:t>
            </w:r>
          </w:p>
        </w:tc>
        <w:tc>
          <w:tcPr>
            <w:tcW w:type="dxa" w:w="1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Время в жёлтой зоне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85 %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+1,07 пп (0,6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3,1 %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86 %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+2,07 пп (1,2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88 %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+4,07 пп (2,4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63 дня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1,3 %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90 %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+6,07 пп (3,6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0,8 %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92 %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+8,07 пп (4,8 σ)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21 день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Обрыв между 88 и 90 не случаен: 02.03.2026 показатель вырос на 11,57 пп за одно наблюдение и оказался между этими значениями. Любой порог ниже 89 срабатывает в этот день; порог 90 ждёт до середины апреля и теряет две трети запаса времени.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Рекомендуемое значение — 88 %.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Оно отстоит на 2,4 σ от максимума нормального режима, что защищает от шума, и даёт 63 дня — примерно квартал — до пробоя. Значение 85 %, предлагавшееся по девяти квартальным точкам до получения недельного ряда, отстоит от нормального максимума лишь на 0,6 σ и будет срабатывать на обычных колебаниях.</w:t>
      </w:r>
    </w:p>
    <w:p>
      <w:pPr>
        <w:pStyle w:val="Heading2"/>
        <w:spacing w:after="120" w:before="240"/>
      </w:pPr>
      <w:r>
        <w:t xml:space="preserve">9.2. Второй триггер: по скорости изменения</w:t>
      </w:r>
    </w:p>
    <w:p>
      <w:pPr>
        <w:spacing w:after="120" w:line="264"/>
      </w:pPr>
      <w:r>
        <w:rPr>
          <w:sz w:val="20"/>
          <w:szCs w:val="20"/>
        </w:rPr>
        <w:t xml:space="preserve">Одного уровневого триггера недостаточно по построению. Жёлтая зона 88–95 % имеет ширину 7 пп, а фактическое приращение 02.03.2026 составило 11,57 пп — зону можно перепрыгнуть за одно наблюдение. Поэтому нужен независимый триггер по скорости.</w:t>
      </w:r>
    </w:p>
    <w:p>
      <w:pPr>
        <w:spacing w:after="120" w:line="264"/>
      </w:pPr>
      <w:r>
        <w:rPr>
          <w:sz w:val="20"/>
          <w:szCs w:val="20"/>
        </w:rPr>
        <w:t xml:space="preserve">Распределение приращений в текущем режиме (144 наблюдения):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3200"/>
        <w:gridCol w:w="3100"/>
      </w:tblGrid>
      <w:tr>
        <w:trPr>
          <w:tblHeader/>
        </w:trPr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Порог</w:t>
            </w:r>
          </w:p>
        </w:tc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Срабатываний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Даты</w:t>
            </w:r>
          </w:p>
        </w:tc>
        <w:tc>
          <w:tcPr>
            <w:tcW w:type="dxa" w:w="3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Оценка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3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регулярно, до 4 раз за квартал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слишком шумно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4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из них по делу — 2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7 ложных за 3,5 года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5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02.03.2026; 04.05.2026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≥ 6 пп</w:t>
            </w:r>
          </w:p>
        </w:tc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08.01.2024; 02.03.2026</w:t>
            </w:r>
          </w:p>
        </w:tc>
        <w:tc>
          <w:tcPr>
            <w:tcW w:type="dxa" w:w="3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 ложное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Единственное ложное срабатывание — 08.01.2024. Максимум 2024 года составил 83,93 %, то есть в этот день показатель оставался ниже 85 %. Достаточно связать триггер по скорости с уровнем, и ложные срабатывания исчезают полностью.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Предлагаемое правило входа в жёлтую зону по топ-20: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факт ≥ 88 % либо приращение ≥ 5 пп за отчёт при факте ≥ 85 %. На 145 наблюдениях текущего режима это правило даёт ноль ложных срабатываний и срабатывает 02.03.2026 — за 63 дня до пробоя, причём оба условия выполняются одновременно, то есть подтверждают друг друга.</w:t>
      </w:r>
    </w:p>
    <w:p>
      <w:pPr>
        <w:pStyle w:val="Heading2"/>
        <w:spacing w:after="120" w:before="240"/>
      </w:pPr>
      <w:r>
        <w:t xml:space="preserve">9.3. Проверка на историческом эпизоде</w:t>
      </w:r>
    </w:p>
    <w:p>
      <w:pPr>
        <w:spacing w:after="120" w:line="264"/>
      </w:pPr>
      <w:r>
        <w:rPr>
          <w:sz w:val="20"/>
          <w:szCs w:val="20"/>
        </w:rPr>
        <w:t xml:space="preserve">Ход событий по недельным данным. 31.12.2025 — 75,15 %, зелёная зона. 02.03.2026 — скачок на 11,57 пп, оба триггера срабатывают. 31.03.2026 — 89,82 %, жёлтая зона. 04.05.2026 — 95 % пробит, красная зона. 30.06.2026 — 102,40 %, максимум эпизода 103,11 %. 10.08.2026 — 96,10 %, эпизод продолжается 99 дней.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Запас времени между первым сигналом и пробоем составил 63 дня. Этого достаточно для процедуры по жёлтой зоне из § 10: анализ причин за 5 рабочих дней, план мероприятий, прогноз на два квартала. Ретроспективно первый сигнал пришёлся на квартал, в котором причиной было падение капитала, — то есть корректно поставленная процедура вывела бы вопрос на КУР до того, как показатель вышел за уровень.</w:t>
      </w:r>
    </w:p>
    <w:p>
      <w:pPr>
        <w:pStyle w:val="Heading2"/>
        <w:spacing w:after="120" w:before="240"/>
      </w:pPr>
      <w:r>
        <w:t xml:space="preserve">9.4. Остальные кредитные метрики</w:t>
      </w:r>
    </w:p>
    <w:p>
      <w:pPr>
        <w:spacing w:after="120" w:line="264"/>
      </w:pPr>
      <w:r>
        <w:rPr>
          <w:sz w:val="20"/>
          <w:szCs w:val="20"/>
        </w:rPr>
        <w:t xml:space="preserve">Для метрик с расстоянием свыше 20 σ статистическая калибровка сигнального уровня бессмысленна: любой порог внутри лимита либо не сработает никогда, либо сработает при уровне, не имеющем отношения к риску. Для них последовательность обратная — сначала пересмотр самого уровня по § 8, затем зонирование внутри нового уровня.</w:t>
      </w:r>
    </w:p>
    <w:p>
      <w:pPr>
        <w:spacing w:after="120" w:line="264"/>
      </w:pPr>
      <w:r>
        <w:rPr>
          <w:sz w:val="20"/>
          <w:szCs w:val="20"/>
        </w:rPr>
        <w:t xml:space="preserve">Для EL по необеспеченному портфелю расстояние 9,1 σ допускает калибровку сразу. При лимите 10 % и σ 0,266 пп сигнальный уровень 8,5 % отстоит от лимита на 5,6 σ и от текущего факта 7,57 % на 3,5 σ. За девять кварталов он не сработал бы ни разу, но при сохранении темпа Q2 2026 был бы достигнут за два квартала. Недельного ряда по метрикам РБ у нас нет — калибровка выполнена на квартальных данных и подлежит уточнению, если такой ряд существует.</w:t>
      </w:r>
    </w:p>
    <w:p>
      <w:pPr>
        <w:pStyle w:val="Heading2"/>
        <w:spacing w:after="120" w:before="240"/>
      </w:pPr>
      <w:r>
        <w:t xml:space="preserve">9.5. Терминология</w:t>
      </w:r>
    </w:p>
    <w:p>
      <w:pPr>
        <w:spacing w:after="120" w:line="264"/>
      </w:pPr>
      <w:r>
        <w:rPr>
          <w:sz w:val="20"/>
          <w:szCs w:val="20"/>
        </w:rPr>
        <w:t xml:space="preserve">В документах, идущих на КУР и СД, применять формулировку п. 18 подпункт 2 Правил № 86 — «уровень, определённый как допустимый», а не «предлимит». Она же используется в Приложении № 2 к Методике и в графе 6 Таблицы 2 приложения к Структуре отчёта по соблюдению ВПОДК, где по каждому лимиту риск-аппетита указываются установленный допустимый уровень, количество случаев его достижения и общая длительность в днях. При отсутствии установленного допустимого уровня эти графы не заполняются.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10. Стресс-тестирование: пригодность для оценки приемлемости уровней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Раздел обязателен по формулировке замечания и по п. 18 части 4 Правил № 86. С момента предыдущей версии записки получены заполненные месячные формы за семь отчётных дат 2026 года, поэтому раздел построен уже на прогонах, а не только на разборе шаблонов.</w:t>
      </w:r>
    </w:p>
    <w:p>
      <w:pPr>
        <w:pStyle w:val="Heading2"/>
        <w:spacing w:after="120" w:before="240"/>
      </w:pPr>
      <w:r>
        <w:t xml:space="preserve">10.1. Что действует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tblHeader/>
        </w:trPr>
        <w:tc>
          <w:tcPr>
            <w:tcW w:type="dxa" w:w="2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Документ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Методика проведения стресс-тестирования, утв. СД, протокол № 03 от 12.01.2015, редакция 21.09.2022, с Приложениями № 1–7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процесса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(п. 54-1)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Месячная форма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Форма 27, ежемесячно до 30 числа следующего месяца (п. 55). Ведётся регулярно; ряд доступен с 2011 года. Получены заполненные формы на 01.01 — 01.07.2026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Годовой прогон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Стресс-тестирование по общеэкономическому сценарию — не реже одного раза в год (п. 50-23). Последний **утверждённый** прогон — за 2024 год; прогоны за 2025 и 2026 находятся на согласовании и не завершены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Сценарии по кредитному риску</w:t>
            </w:r>
          </w:p>
        </w:tc>
        <w:tc>
          <w:tcPr>
            <w:tcW w:type="dxa" w:w="7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Три: базовый, стрессовый, кризисный. Факторы — цена на нефть, цены на недвижимость, девальвация тенге, цена на автомобили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Первый вывод касается не качества, а наличия. Требование п. 50-23 «не реже одного раза в год» на дату подготовки записки не выполняется: разрыв с последним утверждённым прогоном превышает полтора года. Это фиксируется как факт, подтверждённый владельцем процесса, а не как наша оценка.</w:t>
      </w:r>
    </w:p>
    <w:p>
      <w:pPr>
        <w:pStyle w:val="Heading2"/>
        <w:spacing w:after="120" w:before="240"/>
      </w:pPr>
      <w:r>
        <w:t xml:space="preserve">10.2. Дефект формулы, действовавший пять месяцев, и его исправление</w:t>
      </w:r>
    </w:p>
    <w:p>
      <w:pPr>
        <w:spacing w:after="120" w:line="264"/>
      </w:pPr>
      <w:r>
        <w:rPr>
          <w:sz w:val="20"/>
          <w:szCs w:val="20"/>
        </w:rPr>
        <w:t xml:space="preserve">Разбор месячных форм показал, что в отчётах на 01.01 — 01.05.2026 прогнозное изменение стоимости портфеля считалось от предыдущего сценария, а не от факта: в строке стрессового сценария стояло LN(H12/H11) вместо LN(H12/H10), в строке кризисного — LN(H13/H12) вместо LN(H13/H10). Базовый сценарий считался от факта и потому был верен; стрессовый и кризисный оказались занижены.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50"/>
        <w:gridCol w:w="2050"/>
        <w:gridCol w:w="2050"/>
        <w:gridCol w:w="2050"/>
      </w:tblGrid>
      <w:tr>
        <w:trPr>
          <w:tblHeader/>
        </w:trPr>
        <w:tc>
          <w:tcPr>
            <w:tcW w:type="dxa" w:w="1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Отчётная дата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Стрессовый, отчёт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Стрессовый, от факта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Кризисный, отчёт</w:t>
            </w:r>
          </w:p>
        </w:tc>
        <w:tc>
          <w:tcPr>
            <w:tcW w:type="dxa" w:w="20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Кризисный, от факта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01.01.2026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45 230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96 845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117 754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217 233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01.02.2026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44 637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95 733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117 045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215 475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01.03.2026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44 972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96 555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118 332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217 575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01.04.2026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45 957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98 358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120 322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221 455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01.05.2026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46 940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100 014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121 327</w:t>
            </w:r>
          </w:p>
        </w:tc>
        <w:tc>
          <w:tcPr>
            <w:tcW w:type="dxa" w:w="20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224 130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Млн ₸. Занижение устойчиво: в 2,13–2,15 раза по стрессовому сценарию и в 1,84–1,85 раза по кризисному, во всех пяти месяцах.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Дефект исправлен начиная с отчёта на 01.06.2026.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 формах на 01.06 и 01.07 все три строки считаются от факта, и пересчёт совпадает с отчётом до последнего знака. Дефект был выявлен службой внутреннего аудита; исправление внесено БРМ. Наш разбор воспроизвёл его независимо, что подтверждает корректность реконструкции: рассчитанная нами майская доля провизий по кризисному сценарию 22,43 % сошлась с фактически опубликованными 22,31 % в июне и 21,88 % в июле, тогда как отчётная майская составляла 16,03 %.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Что из этого следует для записки. Утверждение о действующем дефекте снимается — процесс исправлен. Остаётся факт: пять отчётов подряд вынесены на КУРРиЛ, Правление и Совет директоров с заниженными вдвое стрессовыми потерями по кредитному риску, и именно на этот период пришёлся пробой уровня риск-аппетита по коэффициенту топ-20 04.05.2026. Вопрос, подлежащий решению: уведомлялись ли органы, получившие пять прежних отчётов, и пересчитывались ли эти отчёты.</w:t>
      </w:r>
    </w:p>
    <w:p>
      <w:pPr>
        <w:spacing w:after="120" w:line="264"/>
      </w:pPr>
      <w:r>
        <w:rPr>
          <w:sz w:val="20"/>
          <w:szCs w:val="20"/>
        </w:rPr>
        <w:t xml:space="preserve">Вместе с формулой был приведён в соответствие с Методикой дисконт по автомобильному обеспечению: 10 / 15 / 20 % заменены на 15 / 25 / 50 %. П. 37 Методики устанавливает принцип прямо — дисконт к залоговой стоимости «устанавливается в размере фактора риска»; применённый к автомобилям, он даёт именно 15 / 25 / 50 % из п. 34–36. Прежние значения не соответствовали ни одному параметру Методики. Через лестницу LGD правка добавляет к кризисному сценарию около 1,1 пп доли провизий.</w:t>
      </w:r>
    </w:p>
    <w:p>
      <w:pPr>
        <w:pStyle w:val="Heading2"/>
        <w:spacing w:after="120" w:before="240"/>
      </w:pPr>
      <w:r>
        <w:t xml:space="preserve">10.3. Из чего складывается результат</w:t>
      </w:r>
    </w:p>
    <w:p>
      <w:pPr>
        <w:spacing w:after="120" w:line="264"/>
      </w:pPr>
      <w:r>
        <w:rPr>
          <w:sz w:val="20"/>
          <w:szCs w:val="20"/>
        </w:rPr>
        <w:t xml:space="preserve">Разложение прогнозного изменения стоимости портфеля по факторам, форма на 01.07.2026, кризисный сценарий: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000"/>
        <w:gridCol w:w="1900"/>
      </w:tblGrid>
      <w:tr>
        <w:trPr>
          <w:tblHeader/>
        </w:trPr>
        <w:tc>
          <w:tcPr>
            <w:tcW w:type="dxa" w:w="3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2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Вклад, млн ₸</w:t>
            </w:r>
          </w:p>
        </w:tc>
        <w:tc>
          <w:tcPr>
            <w:tcW w:type="dxa" w:w="20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</w:t>
            </w:r>
          </w:p>
        </w:tc>
        <w:tc>
          <w:tcPr>
            <w:tcW w:type="dxa" w:w="1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Заявленный шок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Автомобильное обеспечение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182 268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78,66 %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−50 %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Недвижимость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37 298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16,10 %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−30 %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Девальвация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11 834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5,11 %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+25 %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Нефть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303</w:t>
            </w:r>
          </w:p>
        </w:tc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0,13 %</w:t>
            </w:r>
          </w:p>
        </w:tc>
        <w:tc>
          <w:tcPr>
            <w:tcW w:type="dxa" w:w="1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−40 %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Результат почти целиком определяется одним параметром.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Падение цен на нефть, которое во всех формулировках сценариев стоит первым и звучит громче остального, даёт одну тысячную результата: доля нефтяного портфеля составляет 0,11 %. Сценарий назван по фактору, который на него практически не влияет. Это не ошибка расчёта — арифметика верна, — но при вынесении на уполномоченный орган описание сценария через нефть создаёт неверное представление о том, что именно проверяется.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Отсюда вопрос к документу, а не к расчёту. Формула п. 37 Методики содержит члены только по недвижимости (C1) и деньгам (C2); члена по автомобильному обеспечению в ней нет, хотя определение LGD в том же пункте признаёт автомобили ликвидным залогом. Формула содержит три фактора риска, расчёт ведётся по четырём. То есть самый влиятельный параметр модели опирается на аналогию с пунктом Методики, а не на записанное в ней правило — и именно поэтому его можно было пять месяцев вести с несоответствующими значениями, формально ничего не нарушая.</w:t>
      </w:r>
    </w:p>
    <w:p>
      <w:pPr>
        <w:pStyle w:val="Heading2"/>
        <w:spacing w:after="120" w:before="240"/>
      </w:pPr>
      <w:r>
        <w:t xml:space="preserve">10.4. Почему раздел всё же не закрывает требование п. 18 части 4</w:t>
      </w:r>
    </w:p>
    <w:p>
      <w:pPr>
        <w:spacing w:after="120" w:line="264"/>
      </w:pPr>
      <w:r>
        <w:rPr>
          <w:sz w:val="20"/>
          <w:szCs w:val="20"/>
        </w:rPr>
        <w:t xml:space="preserve">После исправления месячная форма даёт пригодные значения. Но оценку приемлемости уровней риск-аппетита по ним построить нельзя по трём причинам, и каждой достаточно по отдельности.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700"/>
      </w:tblGrid>
      <w:tr>
        <w:trPr>
          <w:tblHeader/>
        </w:trPr>
        <w:tc>
          <w:tcPr>
            <w:tcW w:type="dxa" w:w="1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8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Причина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Выход не выражен в метриках риск-аппетита. Месячная форма даёт сумму дополнительных провизий и долю провизий в портфеле. Шаблон годового прогона (Приложение № 3) даёт PD, LGD, EL, NPL90+, LTV и coverage в разрезе «ипотека / авто / потреб», тогда как заявление риск-аппетита оперирует разрезом «необеспеченные денежные / необеспеченные товарные / обеспеченные». Коэффициента топ-20 и стоимости риска нет ни в одном шаблоне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Годового прогона по общеэкономическому сценарию нет с 2024 года. Именно он выдаёт метрики, сопоставимые с заявлением риск-аппетита; месячная форма их не выдаёт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Сценарные значения моделей PD и LGD по однородным займам (Приложение № 4) откалиброваны на строку «Ожидаемый уровень за 2020 г.», при собственном KPI Банка «обновление раз в полгода начиная со 2 квартала 2023». Негативный и кризисный сценарии в этом приложении совпадают полностью — по всем шести макровходам и всем девяти выходам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Формулировка вывода намеренно узкая.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Мы не утверждаем, что действующие уровни риск-аппетита неприемлемы в стрессе. Мы утверждаем, что имеющийся инструментарий не позволяет этого установить в разрезе метрик заявления. Разница существенна: вывод «в стрессе лимиты выдерживаются», построенный на моделях Приложения № 4, где кризисный сценарий добавляет к PD потребительского портфеля 0,61 пп при запасе до лимита 1,86 пп, был бы следствием мягкости модели, а не запаса прочности.</w:t>
      </w:r>
    </w:p>
    <w:p>
      <w:pPr>
        <w:pStyle w:val="Heading2"/>
        <w:spacing w:after="120" w:before="240"/>
      </w:pPr>
      <w:r>
        <w:t xml:space="preserve">10.5. Что рассчитывается сразу и без новой модели</w:t>
      </w:r>
    </w:p>
    <w:p>
      <w:pPr>
        <w:spacing w:after="120" w:line="264"/>
      </w:pPr>
      <w:r>
        <w:rPr>
          <w:sz w:val="20"/>
          <w:szCs w:val="20"/>
        </w:rPr>
        <w:t xml:space="preserve">Лист 1.2 Приложения № 2 рассчитывает стрессовое значение собственного капитала и через него коэффициенты k1, k1-2, k2. Собственный капитал — знаменатель метрики топ-20. Следовательно стрессовое значение этой метрики получается напрямую, без обращения к моделям PD и LGD и без нового сбора данных.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Ниже — анализ чувствительности при зафиксированном числителе 448 999,8 млн ₸ и капитале 442 346,3 млн ₸ на 01.07.2026. Это анализ чувствительности в смысле п. 15 Методики, а не прогноз.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2200"/>
        <w:gridCol w:w="2100"/>
      </w:tblGrid>
      <w:tr>
        <w:trPr>
          <w:tblHeader/>
        </w:trPr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Изменение собственного капитала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Капитал, млн ₸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Доля топ-20</w:t>
            </w:r>
          </w:p>
        </w:tc>
        <w:tc>
          <w:tcPr>
            <w:tcW w:type="dxa" w:w="2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Против уровня 95 %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Факт на 01.07.2026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442 346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101,50 %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6,50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−5 %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420 229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106,85 %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11,85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−10 %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398 112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112,78 %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17,78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−19,66 % (повторение шока Q1 2026)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355 381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126,34 %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31,34 пп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−25 %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331 760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135,34 %</w:t>
            </w:r>
          </w:p>
        </w:tc>
        <w:tc>
          <w:tcPr>
            <w:tcW w:type="dxa" w:w="2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sz w:val="18"/>
                <w:szCs w:val="18"/>
              </w:rPr>
              <w:t xml:space="preserve">превышение 40,34 пп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Обратный счёт даёт величину задачи.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Возврат в уровень 95 % при неизменном портфеле требует роста собственного капитала на 6,85 %. При неизменном капитале — сокращения задолженности топ-20 за вычетом денежного обеспечения на 6,41 %, то есть примерно на 28,8 млрд ₸. Это и есть содержание плана восстановления, и оно формулируется уже сегодня, до получения годового прогона.</w:t>
      </w:r>
    </w:p>
    <w:p>
      <w:pPr>
        <w:spacing w:after="120" w:line="264"/>
      </w:pPr>
      <w:r>
        <w:rPr>
          <w:sz w:val="20"/>
          <w:szCs w:val="20"/>
        </w:rPr>
        <w:t xml:space="preserve">Отдельное наблюдение: лист 1.2 рассчитывает в стрессе ROA и ROE. Показателей доходности в заявлении риск-аппетита нет, хотя п. 2 подпункт 42 и п. 16 подпункт 2 Правил № 86 их предполагают. Источник расчёта, таким образом, уже существует и нового инструмента не требует.</w:t>
      </w:r>
    </w:p>
    <w:p>
      <w:pPr>
        <w:pStyle w:val="Heading2"/>
        <w:spacing w:after="120" w:before="240"/>
      </w:pPr>
      <w:r>
        <w:t xml:space="preserve">10.6. Адресат результатов</w:t>
      </w:r>
    </w:p>
    <w:p>
      <w:pPr>
        <w:spacing w:after="120" w:line="264"/>
      </w:pPr>
      <w:r>
        <w:rPr>
          <w:sz w:val="20"/>
          <w:szCs w:val="20"/>
        </w:rPr>
        <w:t xml:space="preserve">П. 55 Методики: БРМ ежемесячно готовит «Отчёт по стресс-тестированию рыночных рисков и риска ликвидности» по форме 27 и выносит его на Комитет по управлению рыночными рисками и ликвидностью, Правление и Совет директоров. Стресс-тест кредитного риска входит в этот отчёт разделом 5.</w:t>
      </w:r>
    </w:p>
    <w:p>
      <w:pPr>
        <w:spacing w:after="120" w:line="264"/>
      </w:pPr>
      <w:r>
        <w:rPr>
          <w:b/>
          <w:bCs/>
          <w:sz w:val="20"/>
          <w:szCs w:val="20"/>
        </w:rPr>
        <w:t xml:space="preserve">То есть результаты по кредитному риску попадают на комитет, отвечающий за рыночные риски и ликвидность, а не на комитет, устанавливающий уровни риск-аппетита по кредитному риску. Даже при устранении причины 1 из § 10.4 связь «стресс-тест → калибровка кредитных уровней» не замкнётся, пока не изменён адресат.</w:t>
      </w:r>
    </w:p>
    <w:p>
      <w:pPr>
        <w:pStyle w:val="Heading2"/>
        <w:spacing w:after="120" w:before="240"/>
      </w:pPr>
      <w:r>
        <w:t xml:space="preserve">10.7. Что предлагается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Завершить и утвердить прогон по общеэкономическому сценарию за 2025 и 2026 годы. До этого раздел записки об оценке приемлемости уровней заполняется констатацией § 10.4, а не выводом о приемлемости.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Рассчитать стрессовое значение коэффициента топ-20 по § 10.5 на сценариях листа 1.2 и включить его в записку. Это закрывает требование п. 18 части 4 по одной метрике — той единственной, которая нарушена.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Внести в формулу п. 37 Методики член по автомобильному обеспечению и установить дисконт по нему тем же оборотом, который уже применён к недвижимости, — «в размере фактора риска». Привести число факторов риска в формуле к фактическим четырём. Это не новая методология, а запись того, что уже делается; после неё расхождение между документом и расчётом становится проверяемым.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Вынести пересмотр сценариев и моделей Приложения № 4 отдельным предложением. По п. 56 Методики изменение сценариев утверждается Советом директоров через КУРРиЛ и Правление, поэтому новые сценарии до 30.09.2026 физически не появятся: это ограничение закладывается в план, а не обнаруживается в конце сентября.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Привести разрез стресс-теста к разрезу заявления риск-аппетита либо, наоборот, сегментацию метрик к сегментации стресс-теста. Второе дешевле и, вероятно, содержательнее: сегменты «ипотека / авто / потреб» соответствуют классам требований по п. 44 Методики и подклассам по Правилам № 61.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0"/>
          <w:szCs w:val="20"/>
        </w:rPr>
        <w:t xml:space="preserve">Изменить адресат раздела по кредитному риску либо выделить его в отдельный отчёт, выносимый на комитет, отвечающий за риск-аппетит.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Ограничение раздела. Выводы § 10.2 и § 10.3 получены из расчётных файлов месячной формы за семь отчётных дат 2026 года. Годовой прогон по общеэкономическому сценарию нам не предоставлен ни за один год, поэтому суждение о стрессовых значениях метрик заявления риск-аппетита в записке отсутствует.</w:t>
      </w:r>
    </w:p>
    <w:p>
      <w:pPr>
        <w:pStyle w:val="Heading1"/>
        <w:spacing w:after="160" w:before="320"/>
      </w:pPr>
      <w:r>
        <w:t xml:space="preserve">11. Дефекты, выявленные при работе с отчётом</w:t>
      </w:r>
    </w:p>
    <w:p>
      <w:pPr>
        <w:spacing w:after="120" w:line="264"/>
      </w:pPr>
      <w:r>
        <w:rPr>
          <w:sz w:val="20"/>
          <w:szCs w:val="20"/>
        </w:rPr>
        <w:t xml:space="preserve">Относятся к качеству подготовки отчёта, а не к уровням риск-аппетита. Приводятся отдельно, поскольку адресат у них другой.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800"/>
      </w:tblGrid>
      <w:tr>
        <w:trPr>
          <w:tblHeader/>
        </w:trPr>
        <w:tc>
          <w:tcPr>
            <w:tcW w:type="dxa" w:w="7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Наблюдение</w:t>
            </w:r>
          </w:p>
        </w:tc>
        <w:tc>
          <w:tcPr>
            <w:tcW w:type="dxa" w:w="58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Существо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Д1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лимита в тексте выводов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«Ожидаемый COR — (0,26) %, при лимите 3,3 %». В Приложении № 3 и на листе 50-1 лимит по МСБ составляет 3,5 %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Д2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Ошибка в тексте о наименьшем запасе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50-2: «Наименьший запас прочности зафиксирован по обеспеченным денежным кредитам: PD = 5,10 % при лимите 7 %». Категории «обеспеченные денежные кредиты» в наборе метрик нет; PD по обеспеченным кредитам составляет 5,015 %, а не 5,10 %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Д3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Столбец «Запас» считается непоследовательно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 CoR КБ при факте −0,35 % и лимите 3 % запас указан как 3 %, а не 3,35 %. По операционному риску в этой же версии запас рассчитан корректно: 1 999,515 при факте 0,485. То есть в одном столбце сосуществуют разные правила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Д4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Вторая метрика комплаенс-риска отсутствует в сводной части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50-3 содержит два лимита: по убыткам до 60 млн ₸ (факт 1 211 000 ₸, 2 % лимита) и по количеству событий, не влекущих финансовых убытков, до 40 (факт 11, 27,5 % лимита). В сводном листе 50-1 и в Приложении № 3 присутствует только первый. Вторая метрика с утилизацией 27,5 % в заявлении риск-аппетита не отражена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Д5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против годового лимита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Комплаенс-риск за Q2 2026 равен нулю, при этом в Q1 2026 зафиксирован убыток 1,2 млн ₸. Требуется определить, является ли лимит 60 млн ₸ годовым или квартальным: при годовом лимите сопоставление с квартальным фактом занижает утилизацию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Д6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Пересчёт запаса ALRI в тенге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ALRI является средним арифметическим LCR, HLA и NSFR — показателей с разными знаменателями. Запас 46,46 пп переведён в 708 980,5 млн ₸ умножением на среднее арифметическое трёх знаменателей: 368 729,7, 2 752 568,3 и 1 456 906,9, что даёт 1 526 068. Величина не имеет экономического содержания. По ACARI аналогичная операция корректна, поскольку k1, k1-2 и k2 имеют общий знаменатель RWA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Д7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Веса в Приложении № 1 к Методике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**Отозвано в части претензии к расчёту.** 0,33 есть запись одной третьей с округлением, отчётное значение ACARI 20,90 % получается при весе 1/3, и расчёт корректен. Остаётся редакционная правка: заменить в тексте приложения 0,33 на 1/3, чтобы сумма весов читалась как единица, а не как 0,99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Д8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Версии отчёта на одну дату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обращении находится версия отчёта на 01.07.2026, в которой блоки рыночного риска, риска капитала и риска ликвидности содержат значения, полностью совпадающие с Q3 2025: k1 20,1 %, k2 27,6 %, ACARI 22,6 %, VaR 0,28 %, ALRI 130,55 %, HLA 36,79 %, LCR 202,58 %, NSFR 152,28 %, собственный капитал 550 245 млн ₸, RWA 1 991 987 млн ₸. В файле формы 50 на ту же дату эти показатели иные, собственный капитал единый — 442 346,3 млн ₸, а запас по k1 и k1-2 рассчитан. Требуется установить, какая версия выносилась на уполномоченный орган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Д8 существенно для интерпретации ранее сделанных наблюдений: расхождение значений собственного капитала внутри одного отчёта и незаполненный запас по k1 и k1-2 относятся к той версии и в файле формы 50 не воспроизводятся.</w:t>
      </w:r>
    </w:p>
    <w:p>
      <w:pPr>
        <w:spacing w:after="120" w:line="264"/>
      </w:pPr>
      <w:r>
        <w:rPr>
          <w:sz w:val="20"/>
          <w:szCs w:val="20"/>
        </w:rPr>
        <w:t xml:space="preserve">Причина, по которой такие расхождения возможны, зафиксирована самим Банком в Приложении № 6 к Политике: единой базы данных для формирования отчёта нет, данные собираются из разных источников разными структурными подразделениями, уровень автоматизации 30 % при целевом 40 % с датой достижения 4 квартал 2023 года.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12. Реестр вопросов и запросов</w:t>
      </w:r>
    </w:p>
    <w:p>
      <w:pPr>
        <w:spacing w:after="120" w:line="264"/>
      </w:pPr>
      <w:r>
        <w:rPr>
          <w:i/>
          <w:iCs/>
          <w:sz w:val="20"/>
          <w:szCs w:val="20"/>
        </w:rPr>
        <w:t xml:space="preserve">Каждое утверждение записки получено одним из трёх способов: доказано на данных, взято из документа со ссылкой на пункт, либо является гипотезой. Ниже — вопросы, закрывающие третью категорию и подтверждающие первую. Формат один: вопрос, основание, адресат, что разблокирует. Реестр ведётся до закрытия каждой позиции; ответы вносятся в § 8 и в соответствующие разделы.</w:t>
      </w:r>
    </w:p>
    <w:p>
      <w:pPr>
        <w:pStyle w:val="Heading2"/>
        <w:spacing w:after="120" w:before="240"/>
      </w:pPr>
      <w:r>
        <w:t xml:space="preserve">12.1. Блокирующие — без ответа записка не закрывается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**Частично закрыт.** Месячные формы получены за 01.01 — 01.07.2026. Остаётся годовой прогон по общеэкономическому сценарию: последний утверждённый — за 2024 год, прогоны 2025 и 2026 на согласовании. Требуется срок завершения и, до него, письменное подтверждение отсутствия актуального прогона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Именно годовой прогон выдаёт метрики в разрезе, сопоставимом с заявлением риск-аппетита. Требование п. 50-23 «не реже одного раза в год» не выполняется более полутора лет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 (п. 54-1)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Причина сокращения собственного капитала на 107,7 млрд ₸ (−19,66 %) в первом квартале 2026 года и ожидаемая траектория на 2026–2027 годы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Разложение прироста доли топ-20: 74 % за два квартала дал знаменатель. Меры реагирования без причины не формулируются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Финансовый блок, казначейство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Протокол уполномоченного органа, которым уровень по топ-20 изменён с 250 % на 95 %, и расчёт, положенный в его основу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Дата смены установлена по данным — между 13 и 20.02.2023. Решение и обоснование не найдены. Это единственная метрика из 25, по которой история уровня восстановлена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секретарь,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**Закрыт: Банк не является системно значимым.** Надзорного вопроса нет, п. 108 главы 11 Нормативов № 85 неприменим. Остаётся методологический: чем обоснован буфер ровно 0,5 пп по всем трём коэффициентам сразу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Подтверждено 18.08.2026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Существует ли утверждённая процедура определения уровней риск-аппетита, содержащая внутренний порядок расчёта, инструментарий, ответственных лиц и условия корректировки утверждённых уровней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17 Правил № 86 требует такой процедуры. Если её нет — это самостоятельное несоответствие, которое надо квалифицировать в записке, а не обходить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Дамир</w:t>
            </w:r>
          </w:p>
        </w:tc>
      </w:tr>
    </w:tbl>
    <w:p>
      <w:pPr>
        <w:pStyle w:val="Heading2"/>
        <w:spacing w:after="120" w:before="240"/>
      </w:pPr>
      <w:r>
        <w:t xml:space="preserve">12.2. По коэффициенту топ-20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формулу: доля = (задолженность топ-20 − денежное обеспечение) / собственный капитал. Указать, какой именно капитал берётся — регуляторный собственный капитал по Нормативам № 85 или балансовый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Формула установлена на данных: совпадение расчётного и отчётного значения в 521 наблюдении из 521. Из названия строки отчёта это не следует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Внести в отчёт оговорку, что строка «Сумма топ-20 крупных заёмщиков» приводится за вычетом денежного обеспечения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Сейчас не оговорено. Читатель отчёта не может воспроизвести показатель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 расчёта: включаются ли внебалансовые обязательства, группы связанных заёмщиков, межбанковские займы и операции обратного РЕПО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Определяет, измеряет ли метрика концентрацию и как она соотносится с k3 и k3-1 по Нормативам № 85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Были ли за 2018–2025 годы решения об ограничении сделок или отказы со ссылкой на этот лимит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Проверка гипотезы, что уровень работал превентивно. Восемь с половиной лет без единого превышения допускают и обратное объяснение — что уровень не ограничивал ничего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бизнес, кредитный комитет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Менялись ли методика расчёта или периметр топ-20 в 2017–2019 годах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Показатель снизился с 276 % в среднем по 2016 году до 59 % в 2020 году — в 4,7 раза за четыре года. Для органического изменения это много. Если менялась база, часть ряда непригодна для калибровки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расчёта топ-20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Зафиксирован ли документально вход в нарушение 04.05.2026, каким документом и на каком органе рассматривался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Эпизод идёт 99 дней. Графы 7 и 8 Таблицы 2 приложения к Структуре отчёта по ВПОДК — число случаев несоблюдения лимита и длительность в днях — по этой метрике не заполнены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Состав топ-20 на 31.12.2025 и на 30.06.2026 в обезличенном виде — доли, отрасли, валюта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Позволяет отделить рост концентрации от роста портфеля и рассчитать топ-1, топ-10 и индекс Херфиндаля — Хиршмана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Корпоративный бизнес</w:t>
            </w:r>
          </w:p>
        </w:tc>
      </w:tr>
    </w:tbl>
    <w:p>
      <w:pPr>
        <w:pStyle w:val="Heading2"/>
        <w:spacing w:after="120" w:before="240"/>
      </w:pPr>
      <w:r>
        <w:t xml:space="preserve">12.3. По стресс-тестированию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Когда сценарии стресс-тестирования обновлялись в последний раз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Сценарные значения Приложения № 4 откалиброваны на «Ожидаемый уровень за 2020 г.». Приложение № 7 задаёт целевую периодичность раз в полгода с датой достижения 2 квартал 2023 года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Негативный и кризисный сценарии Приложения № 4 совпадают полностью — по всем шести макровходам и всем девяти выходам. Это намеренно или дефект файла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Из трёх заявленных сценариев различны два. От ответа зависит, выполняется ли п. 18 часть 4 Правил № 86 формально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Какой из двух наборов значений LGD without TV в Приложении № 6 является расчётным: строки 86–88 (0,4482 / 0,5046 / 0,5046) или строка 97 (0,4515 / 0,4482 / 0,5021)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одном листе два разных набора; Приложение № 4 берёт первый. Из файла не устанавливается, какой верен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Объяснить, почему в Приложении № 6 итоговый LGD по автокредитованию в негативном сценарии (16,59 %) ниже базового (21,11 %)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Нарушение монотонности: негативный сценарий даёт меньшие потери, чем базовый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или опровергнуть: в Приложении № 5 обесценение залога в негативном сценарии не применено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Негативный и кризисный имеют одинаковое TV (−33,85 %), но итоговый LGD различается на 5,7 пп. Базовый и кризисный воспроизводятся арифметически; негативный воспроизводится только при TV = 0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модели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Планируется ли вынесение пересмотра сценариев на КУРРиЛ, Правление и СД, и в какие сроки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56 Методики. От ответа зависит, можно ли рассчитывать на обновлённые сценарии до 30.09.2026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 — владелец процесса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В19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Приложение № 6 содержит шесть рабочих листов с 1 070 строками поимённых данных по договорам. Согласовано ли это с п. 62 Методики, предусматривающим предоставление Методики вместе с приложениями госорганам и третьим лицам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Для расчёта LGD достаточно когортных агрегатов, которые в файле уже есть. Вопрос не относится к риск-аппетиту и адресуется отдельно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Методики, комплаенс</w:t>
            </w:r>
          </w:p>
        </w:tc>
      </w:tr>
    </w:tbl>
    <w:p>
      <w:pPr>
        <w:pStyle w:val="Heading2"/>
        <w:spacing w:after="120" w:before="240"/>
      </w:pPr>
      <w:r>
        <w:t xml:space="preserve">12.4. По остальным метрикам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Подтвердить, что лимит по стоимости риска КБ является производной бюджета, а не результатом риск-калибровки, и что односторонний характер лимита намеренный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15 Политики: показатель рассчитывается «с учётом общих бюджетных показателей по финансированию». Факт отрицателен в восьми кварталах из девяти, лимит сверху 3 % сработать не может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по стоимости риска МСБ — 3,3 % или 3,5 %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Лист 50-2 отчёта указывает 3,3 %, Приложение № 3 к Политике и лист 50-1 — 3,5 %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Лимит по комплаенс-риску 60 млн ₸ — годовой или квартальный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Квартальный факт сопоставляется с лимитом неизвестной периодичности. При годовом лимите утилизация занижается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Комплаенс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Почему вторая метрика комплаенс-риска — количество событий без финансовых убытков не более 40 при факте 11 — отсутствует в сводном листе 50-1 и в Приложении № 3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Метрика с утилизацией 27,5 % в заявлении риск-аппетита не отражена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комплаенс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Разложение уровня ожидаемых потерь по необеспеченному портфелю РБ на составляющие за последние четыре квартала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Q2 2026 показатель дал максимальный рост за весь ряд (+0,555 пп) после восьми кварталов снижения. Это вторая по активности метрика, 9,1 σ до лимита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Розничный бизнес, БРМ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Ведутся ли недельные или месячные ряды по EL и PD розничного бизнеса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Калибровка сигнальных уровней по метрикам РБ выполнена на девяти квартальных точках — это её главное ограничение. По топ-20 недельный ряд качественно изменил выводы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БРМ, розничный бизнес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Периметр сегмента: «Корпоративный бизнес / Приват банкинг» по Политике или «Корпоративный бизнес» по сводному листу отчёта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Расхождение определения сегмента между документом и отчётом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В27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Существует ли правило пересмотра лимита при изменении регуляторного норматива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Минимум LCR и NSFR по Нормативам № 85 составляет 0,9 до 31.12.2027 и 1,0 с 01.01.2028. При лимите РА 105 % запас сократится с 15 до 5 пп без единого действия Банка. П. 17 подпункт 4 требует описывать условия корректировки уровней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</w:tbl>
    <w:p>
      <w:pPr>
        <w:pStyle w:val="Heading2"/>
        <w:spacing w:after="120" w:before="240"/>
      </w:pPr>
      <w:r>
        <w:t xml:space="preserve">12.5. По зонам и мерам реагирования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В28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Приложении № 2 к Методике порог красной зоны по всем восьми метрикам находится за уровнем риск-аппетита: k1 — 9,0 % против 8,5 %, ALRI — 90 % против 85 %, LCR и NSFR — 110 % против 105 %. Это намеренная конструкция или дефект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Возникает диапазон, в котором риск-аппетит формально соблюдён и одновременно объявлен высокий уровень риска. Если конструкция намеренная, то уровнем риск-аппетита фактически является граница зелёной зоны, и это надо зафиксировать явно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Дамир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В29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 первом квартале 2026 года ALRI (97,32 % при границе 100 %) и NSFR (113,11 % при границе 115 %) находились в жёлтой зоне. Какие корректирующие меры приняты, кем зафиксирован вход в зону, когда произошёл выход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Проверочный кейс. Если по метрикам, где зоны существуют пятый год, вход в зону не оставляет следа в документах, то введение зон по кредитным метрикам само по себе ничего не изменит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БРМ, казначейство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В30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Редакционная правка: заменить в Приложении № 1 к Методике вес 0,33 на 1/3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Расчёт верен — 0,33 есть округление одной третьей, отчётное значение ACARI ему соответствует. Расходится только запись веса: сумма читается как 0,99. Прежняя формулировка вопроса — «расчёт ведётся не по формуле, записанной в документе» — отозвана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Владелец Методики</w:t>
            </w:r>
          </w:p>
        </w:tc>
      </w:tr>
    </w:tbl>
    <w:p>
      <w:pPr>
        <w:pStyle w:val="Heading2"/>
        <w:spacing w:after="120" w:before="240"/>
      </w:pPr>
      <w:r>
        <w:t xml:space="preserve">12.6. По процессу и владельцам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300"/>
        <w:gridCol w:w="2500"/>
      </w:tblGrid>
      <w:tr>
        <w:trPr>
          <w:tblHeader/>
        </w:trPr>
        <w:tc>
          <w:tcPr>
            <w:tcW w:type="dxa" w:w="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3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25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В31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Реестр владельцев: кто является владельцем каждой из 25 метрик — кто рассчитывает, кто проверяет, кто отвечает за уровень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Без реестра меры реагирования не имеют адресата, а паспорта метрик не составляются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В32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Порядок консолидации отчёта об уровнях риск-аппетита: источники по каждому блоку, сроки представления, кто подтверждает данные, кто утверждает итоговую версию перед выносом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Прямой вопрос из устной постановки. Дополнительно необходим для регламента контроля качества: в обращении находились две версии отчёта на одну дату с разными значениями капитала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В33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Какой именно уполномоченный орган утверждает уровни риск-аппетита, в какой форме фиксируется решение и с какой периодичностью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Требуется для мероприятия 2 (предложения на УО до 31.12.2026) и для проверки соответствия п. 18 части 6 Правил № 86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Улдана, корпоративный секретарь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В34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Заявление риск-аппетита как отдельный документ: существует ли, кем и когда утверждено, содержит ли качественные утверждения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П. 2 подпункт 42 Правил № 86 определяет заявление как утверждаемый советом директоров документ с качественными и количественными утверждениями, включая показатели доходности. Нам предъявлен отчёт об уровнях, но не заявление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Улдана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В35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Подтвердить периметр задачи: входит ли в неё пересмотр состава метрик и их калибровки, или работа ограничивается установлением зон по действующему составу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От ответа зависит объём. Если пересмотр состава не входит, ограничение стоит зафиксировать письменно: 19 лимитов из 25 в обозримом горизонте не срабатывают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Дамир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В36</w:t>
            </w:r>
          </w:p>
        </w:tc>
        <w:tc>
          <w:tcPr>
            <w:tcW w:type="dxa" w:w="3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Разделение работ между исполнителями и согласование сроков внутреннего плана</w:t>
            </w:r>
          </w:p>
        </w:tc>
        <w:tc>
          <w:tcPr>
            <w:tcW w:type="dxa" w:w="3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Внутренний план из восьми мероприятий не содержит колонки исполнителей и не содержит ни одного шага по запросу данных, тогда как сроки исполнения запросов вне нашего контроля</w:t>
            </w:r>
          </w:p>
        </w:tc>
        <w:tc>
          <w:tcPr>
            <w:tcW w:type="dxa" w:w="25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sz w:val="18"/>
                <w:szCs w:val="18"/>
              </w:rPr>
              <w:t xml:space="preserve">Дамир, Ерлан, Айдар</w:t>
            </w:r>
          </w:p>
        </w:tc>
      </w:tr>
    </w:tbl>
    <w:p>
      <w:pPr>
        <w:pStyle w:val="Heading2"/>
        <w:spacing w:after="120" w:before="240"/>
      </w:pPr>
      <w:r>
        <w:t xml:space="preserve">12.7. Что можно сделать без ответов</w:t>
      </w:r>
    </w:p>
    <w:p>
      <w:pPr>
        <w:spacing w:after="120" w:line="264"/>
      </w:pPr>
      <w:r>
        <w:rPr>
          <w:sz w:val="20"/>
          <w:szCs w:val="20"/>
        </w:rPr>
        <w:t xml:space="preserve">Реестр не является условием начала работы. До получения ответов закрываются: расчёт стрессового значения топ-20 по § 10.3; расчёт топ-1, топ-10 и индекса Херфиндаля — Хиршмана по имеющимся данным; классификация 25 лимитов по § 8; методика калибровки зон и матрица эскалации; проверка соответствия требованиям Правил № 86 по пунктам. Ответы уточняют выводы, но не порождают их — за исключением раздела о приемлемости уровней в стрессе, который без В1 не заполняется по существу.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Оговорка. Расчёты § 3 выполнены по рядам с листа «Выводы» формы 50 на 01.07.2026; расчёты § 4 и § 9 — по недельному ряду из оперативных файлов подразделения, собранному скриптом, без доступа к первичным расчётам метрик; выводы § 10 — по тексту Методики стресс-тестирования, расчётным файлам Приложений № 1–7 и семи заполненным месячным формам 2026 года; годовой прогон по общеэкономическому сценарию не предоставлен ни за один год. Стандартные отклонения по метрикам розничного бизнеса рассчитаны на девяти квартальных наблюдениях и являются оценкой с широким доверительным интервалом; они используются для ранжирования метрик по достижимости лимита, а не как основание для конкретных числовых уровней. Выводы § 8 подлежат уточнению после получения ответов на В1–В5.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2026-08-20T10:46:53.541Z</dcterms:created>
  <dcterms:modified xsi:type="dcterms:W3CDTF">2026-08-20T10:46:53.542Z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