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2"/>
          <w:szCs w:val="32"/>
        </w:rPr>
        <w:t xml:space="preserve">ЗАПРОСЫ ПО КОНТУРУ РИСК-АППЕТИТА: МАРШРУТИЗАЦИЯ И ТЕКСТЫ ПИСЕМ</w:t>
      </w:r>
    </w:p>
    <w:p>
      <w:pPr>
        <w:spacing w:after="240"/>
      </w:pPr>
      <w:r>
        <w:rPr>
          <w:color w:val="444444"/>
          <w:sz w:val="22"/>
          <w:szCs w:val="22"/>
        </w:rPr>
        <w:t xml:space="preserve">36 вопросов реестра главы 12 аналитической записки, разложенные по десяти адресатам. Каждый раздел — готовый текст одного письма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tblHeader/>
        </w:trPr>
        <w:tc>
          <w:tcPr>
            <w:tcW w:type="dxa" w:w="23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76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Статус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Рабочая версия v1.0. Тексты писем готовы к отправке после подстановки Ф. И. О. адресатов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Источник вопросов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Глава 12 аналитической записки v0.4, вопросы В1–В36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Адресатов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Вопросов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36, из них блокирующих 4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Сроки ответа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Блокирующие — до 03.09.2026; остальные — до 10.09.2026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Подразделение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Дата</w:t>
            </w:r>
          </w:p>
        </w:tc>
        <w:tc>
          <w:tcPr>
            <w:tcW w:type="dxa" w:w="76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20.08.2026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Адресаты указаны функциями, а не фамилиями: файл хранится в репозитории, а репозиторий открытый. Ф. И. О. подставляются при отправке. Ни один вопрос не содержит ИИН, наименований заёмщиков, номеров договоров и иных персональных данных; там, где нужны данные по клиентам, прямо запрошен обезличенный вид.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1. Маршрутизация: кто что получает</w:t>
      </w:r>
    </w:p>
    <w:p>
      <w:pPr>
        <w:spacing w:after="120" w:line="264"/>
      </w:pPr>
      <w:r>
        <w:rPr>
          <w:sz w:val="20"/>
          <w:szCs w:val="20"/>
        </w:rPr>
        <w:t xml:space="preserve">Каждый вопрос имеет ровно одного основного адресата. Копии проставлены там, где ответ затрагивает второе подразделение, но отвечает всё равно один.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900"/>
        <w:gridCol w:w="3200"/>
        <w:gridCol w:w="2200"/>
      </w:tblGrid>
      <w:tr>
        <w:trPr>
          <w:tblHeader/>
        </w:trPr>
        <w:tc>
          <w:tcPr>
            <w:tcW w:type="dxa" w:w="6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9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Адресат (функция)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Вопросы</w:t>
            </w:r>
          </w:p>
        </w:tc>
        <w:tc>
          <w:tcPr>
            <w:tcW w:type="dxa" w:w="2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Сколько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Владелец отчёта об уровнях риск-аппетита и Политики определения аппетита к риску (методология БРМ)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В4-ост., В5, В7, В11, В20, В21, В23, В26, В27, В28, В30, В31, В32, В33, В34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Руководитель, поставивший задачу (владелец мероприятия по плану)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В35, В36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 — владелец процесса стресс-тестирования (п. 54-1 Методики)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В1, В13, В14, В18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 — владелец модели стресс-тестирования (расчётные приложения)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В15, В16, В17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Владелец расчёта коэффициента топ-20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В6, В8, В10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Корпоративный бизнес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В9, В12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Финансовый блок и казначейство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В2, В29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Корпоративный секретарь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Комплаенс и владелец Методики стресс-тестирования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В19, В22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6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9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Розничный бизнес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В24, В25</w:t>
            </w:r>
          </w:p>
        </w:tc>
        <w:tc>
          <w:tcPr>
            <w:tcW w:type="dxa" w:w="2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Четыре вопроса блокирующие: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В1 (годовой прогон стресс-теста), В2 (причина сокращения капитала), В3 (протокол об изменении уровня с 250 % на 95 %), В5 (существует ли утверждённая процедура определения уровней). Без них записка закрывается с оговорками, а раздел о приемлемости уровней в стрессе не заполняется по существу.</w:t>
      </w:r>
    </w:p>
    <w:p>
      <w:pPr>
        <w:spacing w:after="120" w:line="264"/>
      </w:pPr>
      <w:r>
        <w:rPr>
          <w:b/>
          <w:bCs/>
          <w:i w:val="false"/>
          <w:iCs w:val="false"/>
          <w:sz w:val="20"/>
          <w:szCs w:val="20"/>
        </w:rPr>
        <w:t xml:space="preserve">Один вопрос переформулирован против редакции реестра. </w:t>
      </w:r>
      <w:r>
        <w:rPr>
          <w:b w:val="false"/>
          <w:bCs w:val="false"/>
          <w:i w:val="false"/>
          <w:iCs w:val="false"/>
          <w:sz w:val="20"/>
          <w:szCs w:val="20"/>
        </w:rPr>
        <w:t xml:space="preserve">В30 в реестре был записан как «расчёт ведётся не по формуле, записанной в документе». Эта формулировка отозвана: 0,33 — округление 1/3, расчёт верен. Вопрос остаётся, но как редакционный — просьба заменить в документе 0,33 на 1/3. Отправлять его в прежней редакции нельзя.</w:t>
      </w:r>
    </w:p>
    <w:p>
      <w:pPr>
        <w:spacing w:after="120" w:line="264"/>
      </w:pPr>
      <w:r>
        <w:rPr>
          <w:sz w:val="20"/>
          <w:szCs w:val="20"/>
        </w:rPr>
        <w:t xml:space="preserve">В4 закрыт по существу 18.08.2026: Банк не является системно значимым. В письмо включён только методологический остаток — происхождение буфера 0,5 пп.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2. Письмо 1 — методология риск-аппетита и отчёт об уровнях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Владелец отчёта об уровнях риск-аппетита и Политики определения аппетита к риску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Руководитель, поставивший задачу; корпоративный секретарь (по В33); комплаенс (по В23)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Запрос по анализу актуальности уровней риск-аппетита по кредитному риску: процесс, документы и отдельные метрики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10.09.2026; по В5 — до 03.09.2026 (блокирующий)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В рамках мероприятия 1 плана по замечанию СВА проведён анализ действующих уровней риск-аппетита по кредитному риску на девятиквартальном ряде Q2 2024 — Q2 2026 и на недельном ряде из 521 наблюдения по коэффициенту топ-20. Часть выводов упирается в вопросы, ответы на которые есть только у Вас. Вопросы разделены на две части: процесс и документы, затем отдельные метрики и отчёт.</w:t>
      </w:r>
    </w:p>
    <w:p>
      <w:pPr>
        <w:pStyle w:val="Heading2"/>
        <w:spacing w:after="120" w:before="240"/>
      </w:pPr>
      <w:r>
        <w:t xml:space="preserve">2.1. Процесс и документы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В5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Подтвердить, существует ли утверждённая процедура определения уровней риск-аппетита, и если да — направить её. Требуется наличие в ней внутреннего порядка расчёта, инструментария, ответственных лиц и условий корректировки утверждённых уровней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17 Правил № 86 требует такой процедуры. Если её нет, это самостоятельное несоответствие, которое надо квалифицировать в записке, а не обходить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 документа либо письменное подтверждение отсутствия. Блокирующий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В31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Реестр владельцев по каждой из 25 метрик: кто рассчитывает, кто проверяет, кто отвечает за уровень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Без реестра меры реагирования не имеют адресата, а паспорта метрик не составляются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Таблица в любом формате: метрика — расчёт — проверка — ответственный за уровень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В32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Порядок консолидации отчёта об уровнях: источники по каждому блоку, сроки представления, кто подтверждает данные, кто утверждает итоговую версию перед выносом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Прямой вопрос из устной постановки задачи. Дополнительно нужен для контроля качества: в обращении находились две версии отчёта на одну дату с разными значениями капитала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Описание порядка либо ссылка на пункт действующего ВНД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В33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Какой именно уполномоченный орган утверждает уровни, в какой форме фиксируется решение и с какой периодичностью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Требуется для мероприятия 2 — вынос предложений на УО до 31.12.2026 — и для проверки соответствия п. 18 части 6 Правил № 86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Ответ со ссылкой на пункт ВНД, копия последнего решения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В34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Существует ли заявление риск-аппетита как отдельный документ: кем и когда утверждено, содержит ли качественные утверждения и показатели доходности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2 подпункт 42 Правил № 86 определяет заявление как утверждаемый советом директоров документ с качественными и количественными утверждениями. Нам предъявлен отчёт об уровнях, но не заявление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 документа либо письменное подтверждение отсутствия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В28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 Приложении № 2 к Методике порог красной зоны по всем восьми метрикам находится за уровнем риск-аппетита: k1 — 9,0 % против 8,5 %, ALRI — 90 % против 85 %, LCR и NSFR — 110 % против 105 %. Это намеренная конструкция или дефект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Возникает диапазон, в котором риск-аппетит формально соблюдён и одновременно объявлен высокий уровень риска. Если конструкция намеренная, уровнем риск-аппетита фактически является граница зелёной зоны, и это надо зафиксировать явно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Ответ по существу: намеренно или дефект. При «намеренно» — пункт, где это зафиксировано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В27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Существует ли правило пересмотра лимита при изменении регуляторного норматива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Минимум LCR и NSFR по Нормативам № 85 составляет 0,9 до 31.12.2027 и 1,0 с 01.01.2028. При лимите РА 105 % запас сократится с 15 до 5 пп без единого действия Банка. П. 17 подпункт 4 требует описывать условия корректировки уровней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Ссылка на пункт ВНД либо подтверждение отсутствия правила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В4-ост.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Чем обоснован буфер ровно 0,5 пп между лимитом РА и регуляторным минимумом одновременно по k1, k1-2 и k2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Статус системной значимости закрыт 18.08.2026, надзорного вопроса нет. Остаётся методологический: одинаковая надбавка по трём разным коэффициентам выглядит механической, а не откалиброванной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Расчёт либо указание, что величина принята экспертно</w:t>
            </w:r>
          </w:p>
        </w:tc>
      </w:tr>
    </w:tbl>
    <w:p>
      <w:pPr>
        <w:pStyle w:val="Heading2"/>
        <w:spacing w:after="120" w:before="240"/>
      </w:pPr>
      <w:r>
        <w:t xml:space="preserve">2.2. Отдельные метрики и отчёт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В7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Внести в отчёт оговорку, что строка «Сумма топ-20 крупных заёмщиков» приводится за вычетом денежного обеспечения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Сейчас это нигде не оговорено, и читатель отчёта не может воспроизвести показатель. Установлено на данных: совпадение в 521 наблюдении из 521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Правка в шаблоне отчёта со следующей отчётной даты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В11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Зафиксирован ли документально вход в нарушение 04.05.2026, каким документом и на каком органе рассматривался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Эпизод продолжается 99 дней. Графы 7 и 8 Таблицы 2 приложения к Структуре отчёта по ВПОДК — число случаев несоблюдения и длительность в днях — по этой метрике не заполнены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Реквизиты документа и выписка из протокола либо подтверждение, что фиксации не было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В20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Подтвердить, что лимит по стоимости риска КБ является производной бюджета, а не результатом риск-калибровки, и что односторонний характер лимита намеренный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15 Политики: показатель рассчитывается «с учётом общих бюджетных показателей по финансированию». Факт отрицателен в восьми кварталах из девяти, лимит сверху 3 % сработать не может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Ответ «да/нет» с пояснением в одну строку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В21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Лимит по стоимости риска МСБ — 3,3 % или 3,5 %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Лист 50-2 отчёта указывает 3,3 %, Приложение № 3 к Политике и лист 50-1 — 3,5 %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Указание действующего значения и правка расходящегося источника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В23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Почему вторая метрика комплаенс-риска — количество событий без финансовых убытков не более 40 при факте 11 — отсутствует в сводном листе 50-1 и в Приложении № 3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Метрика с утилизацией 27,5 % в заявлении риск-аппетита не отражена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Ответ и решение: включить в свод либо исключить из состава метрик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В26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Периметр сегмента: «Корпоративный бизнес / Приват банкинг» по Политике или «Корпоративный бизнес» по сводному листу отчёта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Расхождение определения сегмента между документом и отчётом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Указание действующего периметра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В30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Редакционная правка: в Приложении № 1 к Методике вес каждого коэффициента указан как 0,33, сумма 0,99. Фактически применяется 1/3, и отчётное значение ACARI этому соответствует. Просьба заменить в документе 0,33 на 1/3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Расчёт верен; расходится только запись веса в документе. Прежняя формулировка вопроса — «расчёт ведётся не по формуле, записанной в документе» — отозвана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Правка в тексте Приложения № 1 при ближайшем пересмотре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Без ответа на В5 не закрывается раздел записки о соответствии п. 17 Правил № 86. Остальные вопросы уточняют выводы, но не блокируют работу: расчёты по § 3, § 4, § 8, § 9 и § 10.3 выполняются независимо.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3. Письмо 2 — периметр задачи и внутренний план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Руководитель, поставивший задачу (владелец мероприятия по плану)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Исполнители по внутреннему плану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Уточнение периметра работы по пересмотру уровней риск-аппетита и разделение работ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10.09.2026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Два вопроса управленческие: от них зависит объём работы и распределение сроков, а не содержание расчётов.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В35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Подтвердить периметр задачи: входит ли в неё пересмотр состава метрик и их калибровки, или работа ограничивается установлением зон по действующему составу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 ответа зависит объём. Если пересмотр состава не входит, ограничение стоит зафиксировать письменно: по нашей оценке 19 лимитов из 25 в обозримом горизонте не срабатывают, и установление зон по ним не изменит контрольной функции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Решение в одну строку, желательно письменно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В36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Разделение работ между исполнителями и согласование сроков внутреннего плана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Внутренний план из восьми мероприятий не содержит колонки исполнителей и не содержит ни одного шага по запросу данных, тогда как сроки исполнения запросов вне нашего контроля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Обновлённый план с колонками «исполнитель» и «срок», включая шаг «запрос данных»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Просьба учесть при ответе на В36: настоящий файл и есть недостающий шаг «запрос данных» — десять писем с указанием сроков. После подтверждения периметра по В35 он отправляется в тот же день.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4. Письмо 3 — процесс стресс-тестирования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 — владелец процесса стресс-тестирования (п. 54-1 Методики)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Руководитель, поставивший задачу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Запрос по стресс-тестированию кредитного риска для оценки приемлемости уровней риск-аппетита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03.09.2026 по В1 (блокирующий); по остальным — до 10.09.2026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Получены заполненные месячные формы за семь отчётных дат 2026 года; они пригодны для анализа после исправления формулы с отчёта на 01.06.2026. Но выход месячной формы не выражен в метриках заявления риск-аппетита: ни коэффициента топ-20, ни стоимости риска в ней нет. Сопоставимые метрики выдаёт только годовой прогон.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завершения годового прогона по общеэкономическому сценарию за 2025 и 2026 годы. До его завершения — письменное подтверждение отсутствия актуального прогона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Последний утверждённый прогон — за 2024 год. Требование п. 50-23 «не реже одного раза в год» не выполняется более полутора лет. Именно годовой прогон выдаёт метрики в разрезе, сопоставимом с заявлением риск-аппетита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в формате даты; при недостижимости до 30.09.2026 — письменное подтверждение. Блокирующий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В13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Когда сценарии стресс-тестирования обновлялись в последний раз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Сценарные значения Приложения № 4 откалиброваны на «Ожидаемый уровень за 2020 г.». Приложение № 7 задаёт целевую периодичность раз в полгода с датой достижения 2 квартал 2023 года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Дата последнего обновления и реквизиты решения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В14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Негативный и кризисный сценарии Приложения № 4 совпадают полностью — по всем шести макровходам и всем девяти выходам. Это намеренно или дефект файла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Из трёх заявленных сценариев различны два. От ответа зависит, выполняется ли п. 18 часть 4 Правил № 86 формально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Ответ по существу и, при дефекте, исправленное приложение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В18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Планируется ли вынесение пересмотра сценариев на КУРРиЛ, Правление и СД, и в какие сроки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П. 56 Методики. От ответа зависит, можно ли рассчитывать на обновлённые сценарии до 30.09.2026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Плановая дата вынесения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Отдельно отмечаем как выполненное: дефект формулы месячной формы (логарифм фактора брался от предыдущего сценария, а не от факта) выявлен службой внутреннего аудита и исправлен с отчёта на 01.06.2026. Наш пересчёт майской формы даёт долю провизий 22,43 % против опубликованных 22,31 % на 01.06.2026 и 21,88 % на 01.07.2026 — исправление подтверждается независимо.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5. Письмо 4 — расчётные приложения модели стресс-тестирования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 — владелец модели стресс-тестирования (расчётные приложения № 5 и № 6)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 — владелец процесса стресс-тестирования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Три расхождения в расчётных приложениях к Методике стресс-тестирования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10.09.2026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При воспроизведении расчёта LGD по приложениям обнаружены три места, которые из файлов не восстанавливаются. Вопросы касаются только внутренней согласованности расчёта и не затрагивают выводов о сценариях.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В15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Какой из двух наборов значений LGD without TV в Приложении № 6 является расчётным: строки 86–88 (0,4482 / 0,5046 / 0,5046) или строка 97 (0,4515 / 0,4482 / 0,5021)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 одном листе два разных набора; Приложение № 4 берёт первый. Из файла не устанавливается, какой верен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Указание действующего набора и строки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В16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Объяснить, почему в Приложении № 6 итоговый LGD по автокредитованию в негативном сценарии (16,59 %) ниже базового (21,11 %)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Нарушение монотонности: негативный сценарий даёт меньшие потери, чем базовый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Пояснение либо исправленный расчёт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В17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Подтвердить или опровергнуть: в Приложении № 5 обесценение залога в негативном сценарии не применено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Негативный и кризисный сценарии имеют одинаковое TV (−33,85 %), но итоговый LGD различается на 5,7 пп. Базовый и кризисный воспроизводятся арифметически; негативный воспроизводится только при TV = 0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Ответ «да/нет» и, при «да», исправленный лист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6. Письмо 5 — расчёт коэффициента топ-20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Владелец расчёта коэффициента отношения топ-20 крупных заёмщиков к собственному капиталу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Подтверждение формулы, периметра и истории расчёта коэффициента топ-20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10.09.2026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Это единственная из 14 кредитных метрик, по которой лимит сработал за девять кварталов, и единственная, по которой собран длинный ряд: 521 наблюдение с 11.05.2016 по 10.08.2026. Три вопроса нужны, чтобы этот ряд можно было использовать для калибровки сигнального уровня.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В6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Подтвердить формулу: доля = (задолженность топ-20 − денежное обеспечение) / собственный капитал. Указать, какой капитал берётся — регуляторный по Нормативам № 85 или балансовый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Формула установлена на данных: совпадение расчётного и отчётного значения в 521 наблюдении из 521. Из названия строки отчёта это не следует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Подтверждение формулы и вида капитала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В8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Периметр расчёта: включаются ли внебалансовые обязательства, группы связанных заёмщиков, межбанковские займы и операции обратного РЕПО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Определяет, измеряет ли метрика концентрацию и как она соотносится с k3 и k3-1 по Нормативам № 85. От этого зависит, как метрика называется в паспорте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Перечень включаемого и исключаемого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В10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Менялись ли методика расчёта или периметр топ-20 в 2017–2019 годах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Показатель снизился с 276 % в среднем по 2016 году до 59 % в 2020 году — в 4,7 раза за четыре года. Для органического изменения это много. Если менялась база, часть ряда непригодна для калибровки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Ответ «да/нет»; при «да» — дата и суть изменения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7. Письмо 6 — корпоративный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Корпоративный бизнес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Кредитный комитет (по В9); БРМ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Данные по составу топ-20 и практика применения лимита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10.09.2026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Коэффициент топ-20 находится в нарушении с 04.05.2026 — впервые за восемь с половиной лет. Два вопроса нужны, чтобы отделить рост концентрации от роста портфеля и понять, работал ли лимит превентивно.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В9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Были ли за 2018–2025 годы решения об ограничении сделок или отказы со ссылкой на этот лимит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Проверка гипотезы, что уровень работал превентивно. Восемь с половиной лет без единого превышения допускают и обратное объяснение — что уровень не ограничивал ничего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Примеры решений или подтверждение, что таких не было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В12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Состав топ-20 на 31.12.2025 и на 30.06.2026 в обезличенном виде: доля каждого заёмщика в процентах, отрасль, валюта. Наименования, ИИН и номера договоров не нужны и не запрашиваются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Позволяет отделить рост концентрации от роста портфеля и рассчитать топ-1, топ-10 и индекс Херфиндаля — Хиршмана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Таблица из трёх колонок без идентификаторов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8. Письмо 7 — финансовый блок и казначейство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Финансовый блок, казначейство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Причина сокращения собственного капитала в Q1 2026 и практика работы с жёлтой зоной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03.09.2026 по В2 (блокирующий); по В29 — до 10.09.2026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Точное разложение прироста доли топ-20 показывает, что 74 % скачка за два квартала сделаны знаменателем, а не портфелем: в Q1 2026 из +14,67 пп портфель дал −2,99 пп, капитал +17,66 пп. Меры реагирования без понимания причины не формулируются.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Причина сокращения собственного капитала на 107,7 млрд ₸ (−19,66 %) в первом квартале 2026 года и ожидаемая траектория на 2026–2027 годы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Это основной драйвер нарушения лимита. Мера реагирования зависит от того, разовое это событие или тренд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Пояснение и прогнозная траектория. Блокирующий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В29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 первом квартале 2026 года ALRI (97,32 % при границе 100 %) и NSFR (113,11 % при границе 115 %) находились в жёлтой зоне. Какие корректирующие меры приняты, кем зафиксирован вход в зону, когда произошёл выход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Проверочный кейс. Если по метрикам, где зоны существуют пятый год, вход в зону не оставляет следа в документах, то введение зон по кредитным метрикам само по себе ничего не изменит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Перечень мер и реквизиты документа, которым зафиксирован вход и выход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9. Письмо 8 — корпоративный секретарь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Корпоративный секретарь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Запрос решения об изменении уровня риск-аппетита по коэффициенту топ-20 в феврале 2023 года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03.09.2026 (блокирующий)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По недельному ряду установлено, что уровень риск-аппетита по коэффициенту топ-20 был изменён с 250 % на 95 % между 13 и 20.02.2023, одномоментно, в 2,63 раза. Это единственная метрика из 25, по которой история уровня восстановлена. Решение и расчёт под ним не найдены.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В3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 решения уполномоченного органа, которым уровень изменён с 250 % на 95 %, и расчёт, положенный в его основу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 момент смены факт составлял 72–80 %, максимум 2023 года — 80,55 %, σ недельных приращений — 1,365 пп. Новый уровень встал примерно на семь σ выше максимума. Если расчёт отсутствует, это подтверждает калибровку «от факта плюс запас», и характер предложений на УО меняется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 протокола и приложенных к нему материалов. Блокирующий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10. Письмо 9 — комплаенс и владелец Методики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Комплаенс; владелец Методики стресс-тестирования (по В19)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Периодичность лимита по комплаенс-риску и состав приложений к Методике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10.09.2026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Два независимых вопроса. Первый относится к метрике заявления риск-аппетита, второй — к составу файлов и к риск-аппетиту отношения не имеет, но обнаружен при работе с приложениями и не может быть оставлен без адресата.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В22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Лимит по комплаенс-риску 60 млн ₸ — годовой или квартальный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Квартальный факт сопоставляется с лимитом неизвестной периодичности. При годовом лимите утилизация занижается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Указание периодичности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В19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Приложение № 6 к Методике содержит шесть рабочих листов с 1 070 строками поимённых данных по договорам. Согласовано ли это с п. 62 Методики, предусматривающим предоставление Методики вместе с приложениями госорганам и третьим лицам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Для расчёта LGD достаточно когортных агрегатов, которые в файле уже есть. Вопрос не относится к риск-аппетиту и адресуется отдельно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Позиция комплаенса и, при необходимости, решение о замене листов на агрегаты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11. Письмо 10 — розничный бизнес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200"/>
      </w:tblGrid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Кому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Розничный бизнес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Копия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БРМ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Тема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Разложение ожидаемых потерь по необеспеченному портфелю и наличие частых рядов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ответа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до 10.09.2026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Основание</w:t>
            </w:r>
          </w:p>
        </w:tc>
        <w:tc>
          <w:tcPr>
            <w:tcW w:type="dxa" w:w="8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Замечание СВА (высокий уровень) «Не обеспечен ежегодный пересмотр уровней риск-аппетита по кредитному риску»; мероприятие 1 плана — анализ актуальности уровней в срок до 30.09.2026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sz w:val="20"/>
          <w:szCs w:val="20"/>
        </w:rPr>
        <w:t xml:space="preserve">Уровень ожидаемых потерь по необеспеченному портфелю РБ — вторая по активности метрика из четырнадцати: 9,1 σ до лимита против 24–45 σ у остальных метрик РБ. В Q2 2026 она дала максимальный рост за весь ряд после восьми кварталов снижения.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450"/>
        <w:gridCol w:w="3200"/>
        <w:gridCol w:w="2250"/>
      </w:tblGrid>
      <w:tr>
        <w:trPr>
          <w:tblHeader/>
        </w:trPr>
        <w:tc>
          <w:tcPr>
            <w:tcW w:type="dxa" w:w="52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4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просим</w:t>
            </w:r>
          </w:p>
        </w:tc>
        <w:tc>
          <w:tcPr>
            <w:tcW w:type="dxa" w:w="32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Зачем это нужно</w:t>
            </w:r>
          </w:p>
        </w:tc>
        <w:tc>
          <w:tcPr>
            <w:tcW w:type="dxa" w:w="225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Форма ответа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В24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Разложение уровня ожидаемых потерь по необеспеченному портфелю РБ на составляющие за последние четыре квартала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Рост +0,555 пп в Q2 2026 после восьми кварталов снижения требует объяснения: это смена состава портфеля, изменение модели или ухудшение качества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Разложение по составляющим, агрегатами</w:t>
            </w:r>
          </w:p>
        </w:tc>
      </w:tr>
      <w:tr>
        <w:trPr>
          <w:tblHeader w:val="false"/>
        </w:trPr>
        <w:tc>
          <w:tcPr>
            <w:tcW w:type="dxa" w:w="52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В25</w:t>
            </w:r>
          </w:p>
        </w:tc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Ведутся ли недельные или месячные ряды по EL и PD розничного бизнеса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Калибровка сигнальных уровней по метрикам РБ выполнена на девяти квартальных точках — это её главное ограничение. По топ-20 недельный ряд качественно изменил выводы: на квартальных данных предлагался порог 85 %, на недельных он отклонён</w:t>
            </w:r>
          </w:p>
        </w:tc>
        <w:tc>
          <w:tcPr>
            <w:tcW w:type="dxa" w:w="225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Ответ «да/нет»; при «да» — доступ к ряду или выгрузка агрегатов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12. Сроки и что делается без ответов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5100"/>
      </w:tblGrid>
      <w:tr>
        <w:trPr>
          <w:tblHeader/>
        </w:trPr>
        <w:tc>
          <w:tcPr>
            <w:tcW w:type="dxa" w:w="2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Срок</w:t>
            </w:r>
          </w:p>
        </w:tc>
        <w:tc>
          <w:tcPr>
            <w:tcW w:type="dxa" w:w="24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Вопросы</w:t>
            </w:r>
          </w:p>
        </w:tc>
        <w:tc>
          <w:tcPr>
            <w:tcW w:type="dxa" w:w="5100"/>
            <w:shd w:fill="EFEFEF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/>
                <w:bCs/>
                <w:sz w:val="18"/>
                <w:szCs w:val="18"/>
              </w:rPr>
              <w:t xml:space="preserve">Что закрывается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03.09.2026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В1, В2, В3, В5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Блокирующие. Без них раздел о приемлемости уровней в стрессе не заполняется по существу, а происхождение действующих уровней остаётся невосстановленным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10.09.2026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Остальные 32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Уточняют выводы и позволяют составить паспорта метрик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30.09.2026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мероприятия 1: аналитическая записка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31.12.2026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100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30"/>
            </w:pPr>
            <w:r>
              <w:rPr>
                <w:b w:val="false"/>
                <w:bCs w:val="false"/>
                <w:sz w:val="18"/>
                <w:szCs w:val="18"/>
              </w:rPr>
              <w:t xml:space="preserve">Срок мероприятия 2: предложения по сохранению либо актуализации уровней на УО</w:t>
            </w:r>
          </w:p>
        </w:tc>
      </w:tr>
    </w:tbl>
    <w:p>
      <w:pPr>
        <w:spacing w:after="120"/>
      </w:pPr>
    </w:p>
    <w:p>
      <w:pPr>
        <w:spacing w:after="120" w:line="264"/>
      </w:pPr>
      <w:r>
        <w:rPr>
          <w:b/>
          <w:bCs/>
          <w:sz w:val="20"/>
          <w:szCs w:val="20"/>
        </w:rPr>
        <w:t xml:space="preserve">Реестр вопросов не является условием начала работы.</w:t>
      </w:r>
    </w:p>
    <w:p>
      <w:pPr>
        <w:spacing w:after="120" w:line="264"/>
      </w:pPr>
      <w:r>
        <w:rPr>
          <w:sz w:val="20"/>
          <w:szCs w:val="20"/>
        </w:rPr>
        <w:t xml:space="preserve">До получения ответов закрываются: расчёт стрессового значения коэффициента топ-20 по фактическому шоку Q1 2026; расчёт топ-1, топ-10 и индекса Херфиндаля — Хиршмана по имеющимся данным; классификация 25 лимитов по характеру требуемого действия; методика калибровки зон и матрица эскалации; проверка соответствия требованиям Правил № 86 по пунктам. Ответы уточняют выводы, но не порождают их — за единственным исключением раздела о приемлемости уровней в стрессе, который без В1 не заполняется по существу.</w:t>
      </w:r>
    </w:p>
    <w:p>
      <w:pPr>
        <w:spacing w:after="120"/>
      </w:pPr>
    </w:p>
    <w:p>
      <w:pPr>
        <w:spacing w:after="120" w:line="264"/>
      </w:pPr>
      <w:r>
        <w:rPr>
          <w:i/>
          <w:iCs/>
          <w:sz w:val="20"/>
          <w:szCs w:val="20"/>
        </w:rPr>
        <w:t xml:space="preserve">Оговорка о персональных данных. Ни один из 36 вопросов не запрашивает ИИН, Ф. И. О. заёмщиков, номера договоров, IBAN и телефоны. Там, где нужны клиентские данные (В12, В24), запрошен обезличенный вид: доли, отрасли, валюта, агрегаты. Ответы, содержащие персональные данные, в репозиторий не помещаются.</w:t>
      </w:r>
    </w:p>
    <w:sectPr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3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2026-08-20T10:46:54.216Z</dcterms:created>
  <dcterms:modified xsi:type="dcterms:W3CDTF">2026-08-20T10:46:54.217Z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