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Вставка в записку: разметка остальных одиннадцати показателей</w:t>
      </w:r>
    </w:p>
    <w:p>
      <w:pPr>
        <w:jc w:val="both"/>
      </w:pPr>
      <w:r>
        <w:rPr>
          <w:color w:val="0B0B0B"/>
        </w:rPr>
        <w:t>Раздел занимает шаги 8–9 сторилайна — после триггеров на движение. Он заменяет формулировку «параметры зон для остальных показателей должны определяться с учётом характеристик рядов»: разметка по всем двенадцати уже посчитана.</w:t>
      </w:r>
    </w:p>
    <w:p>
      <w:pPr>
        <w:jc w:val="both"/>
      </w:pPr>
      <w:r>
        <w:rPr>
          <w:color w:val="0B0B0B"/>
        </w:rPr>
        <w:t xml:space="preserve">Все числа раздела воспроизводятся одним прогоном — </w:t>
      </w:r>
      <w:r>
        <w:rPr>
          <w:rFonts w:ascii="Consolas" w:hAnsi="Consolas"/>
          <w:color w:val="0B0B0B"/>
          <w:sz w:val="19"/>
        </w:rPr>
        <w:t>calib/method_selection.py</w:t>
      </w:r>
      <w:r>
        <w:rPr>
          <w:color w:val="0B0B0B"/>
        </w:rPr>
        <w:t xml:space="preserve"> (</w:t>
      </w:r>
      <w:r>
        <w:rPr>
          <w:rFonts w:ascii="Consolas" w:hAnsi="Consolas"/>
          <w:color w:val="0B0B0B"/>
          <w:sz w:val="19"/>
        </w:rPr>
        <w:t>--selftest</w:t>
      </w:r>
      <w:r>
        <w:rPr>
          <w:color w:val="0B0B0B"/>
        </w:rPr>
        <w:t xml:space="preserve">: тринадцать проверок, </w:t>
      </w:r>
      <w:r>
        <w:rPr>
          <w:rFonts w:ascii="Consolas" w:hAnsi="Consolas"/>
          <w:color w:val="0B0B0B"/>
          <w:sz w:val="19"/>
        </w:rPr>
        <w:t>--csv</w:t>
      </w:r>
      <w:r>
        <w:rPr>
          <w:color w:val="0B0B0B"/>
        </w:rPr>
        <w:t xml:space="preserve">: выгрузка </w:t>
      </w:r>
      <w:r>
        <w:rPr>
          <w:rFonts w:ascii="Consolas" w:hAnsi="Consolas"/>
          <w:color w:val="0B0B0B"/>
          <w:sz w:val="19"/>
        </w:rPr>
        <w:t>data/zones_all12.csv</w:t>
      </w:r>
      <w:r>
        <w:rPr>
          <w:color w:val="0B0B0B"/>
        </w:rPr>
        <w:t xml:space="preserve">). Формальные тесты нормальности — </w:t>
      </w:r>
      <w:r>
        <w:rPr>
          <w:rFonts w:ascii="Consolas" w:hAnsi="Consolas"/>
          <w:color w:val="0B0B0B"/>
          <w:sz w:val="19"/>
        </w:rPr>
        <w:t>calib/normality_triage.py</w:t>
      </w:r>
      <w:r>
        <w:rPr>
          <w:color w:val="0B0B0B"/>
        </w:rPr>
        <w:t>.</w:t>
      </w:r>
    </w:p>
    <w:p>
      <w:pPr>
        <w:pStyle w:val="Heading2"/>
      </w:pPr>
      <w:r>
        <w:t>N. Единый подход и правило выбора метода</w:t>
      </w:r>
    </w:p>
    <w:p>
      <w:pPr>
        <w:pStyle w:val="Heading3"/>
      </w:pPr>
      <w:r>
        <w:t>N.1 Что одинаково для всех двенадцати показателей</w:t>
      </w:r>
    </w:p>
    <w:p>
      <w:pPr>
        <w:jc w:val="both"/>
      </w:pPr>
      <w:r>
        <w:rPr>
          <w:color w:val="0B0B0B"/>
        </w:rPr>
        <w:t>Разметка строится по одному подходу. Одинаковы: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Значение для всех двенадцати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Зоны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четыре — зелёная, жёлтая, красная, нарушение уровня; определения по Приложению № 2 к Методике агрегированных уровней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Доверительная вероятность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90 %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Окно оценки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36 месячных наблюдений, 08.2023 — 07.2026, скользящее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Назначение границы зелёной зоны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сигнал раньше, чем показатель может дойти до уровня за цикл реагирования (4 месяца)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Граница красной зоны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уровень минус 90-процентный ход за один отчётный период (1 месяц)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Второй уровень контроля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триггеры на движение за 1 и за 4 месяца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Реакция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одна машина мер: уровень R0…R4 задаётся зоной и триггерами, а не методом расчёта границы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Пересмотр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ежегодная перекалибровка на обновлённом окне</w:t>
            </w:r>
          </w:p>
        </w:tc>
      </w:tr>
    </w:tbl>
    <w:p/>
    <w:p>
      <w:pPr>
        <w:jc w:val="both"/>
      </w:pPr>
      <w:r>
        <w:rPr>
          <w:color w:val="0B0B0B"/>
        </w:rPr>
        <w:t>Различается только способ, которым оценивается ход показателя. Если выполнены условия параметрической формулы, применяется она. Если нет — непараметрическая оценка той же величины при той же вероятности 90 %.</w:t>
      </w:r>
    </w:p>
    <w:p>
      <w:pPr>
        <w:pStyle w:val="Heading3"/>
      </w:pPr>
      <w:r>
        <w:t>N.2 Основной метод и когда его можно применять</w:t>
      </w:r>
    </w:p>
    <w:p>
      <w:pPr>
        <w:jc w:val="both"/>
      </w:pPr>
      <w:r>
        <w:rPr>
          <w:color w:val="0B0B0B"/>
        </w:rPr>
        <w:t xml:space="preserve">Основной метод — запас времени </w:t>
      </w:r>
      <w:r>
        <w:rPr>
          <w:rFonts w:ascii="Consolas" w:hAnsi="Consolas"/>
          <w:color w:val="0B0B0B"/>
          <w:sz w:val="19"/>
        </w:rPr>
        <w:t>M(T) = z·σ·√T</w:t>
      </w:r>
      <w:r>
        <w:rPr>
          <w:color w:val="0B0B0B"/>
        </w:rPr>
        <w:t>, тот же, что для топ-20. Показатель размечается им, если выполнены три условия: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Простыми словами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Как проверяем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К1. Зона не пустая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буфер на 4 месяца меньше самого уровня, иначе зелёной зоне негде поместиться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граница зелёной зоны больше нуля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К2. Ход одинаков весь год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 показателя нет «особого сезона», в который он движется гораздо сильнее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сравниваем разброс в феврале–марте (годовое закрытие) и в остальные месяцы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К3. Буфер покрывает реальные движения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формула не даёт буфер уже, чем показатель фактически двигался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сравниваем буфер с фактическими движениями за 1 и за 4 месяца</w:t>
            </w:r>
          </w:p>
        </w:tc>
      </w:tr>
    </w:tbl>
    <w:p/>
    <w:p>
      <w:pPr>
        <w:jc w:val="both"/>
      </w:pPr>
      <w:r>
        <w:rPr>
          <w:color w:val="0B0B0B"/>
        </w:rPr>
        <w:t>Выполнены все три условия — применяется запас времени. Не выполнено хотя бы одно — замещающий метод (§ N+2).</w:t>
      </w:r>
    </w:p>
    <w:p>
      <w:pPr>
        <w:jc w:val="both"/>
      </w:pPr>
      <w:r>
        <w:rPr>
          <w:b/>
          <w:color w:val="0B0B0B"/>
        </w:rPr>
        <w:t>Нормальность отдельно не требуется.</w:t>
      </w:r>
      <w:r>
        <w:rPr>
          <w:color w:val="0B0B0B"/>
        </w:rPr>
        <w:t xml:space="preserve"> Формула работает с суммой движений за несколько месяцев, а такая сумма ближе к нормальному распределению, чем движение одного месяца (центральная предельная теорема). На четырёх месяцах это не гарантия, поэтому результат проверяется напрямую — это и есть условие К3. Формально нормальны три показателя из двенадцати: топ-20, EL по обеспеченному и EL по прочему портфелю.</w:t>
      </w:r>
    </w:p>
    <w:p>
      <w:pPr>
        <w:jc w:val="both"/>
      </w:pPr>
      <w:r>
        <w:rPr>
          <w:color w:val="0B0B0B"/>
        </w:rPr>
        <w:t>Тесты и пороги каждого условия обоснованы в приложении в конце раздела.</w:t>
      </w:r>
    </w:p>
    <w:p>
      <w:pPr>
        <w:pStyle w:val="Heading3"/>
      </w:pPr>
      <w:r>
        <w:t>N.3 Результат: десять показателей на основном методе, два — на замещающем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К1: граница зелёной по M(T)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К2: σ фев–мар / σ прочих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Доля дисперсии в фев–мар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К2: p Левене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К3: T = 1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К3: T = 4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Метод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Топ-20 / СК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98,21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+21 %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общий портфель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8,79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0,55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+148 %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+128 %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необеспеченный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+28 %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0,28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−13 %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прочий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9,78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0,85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12 %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0,59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+92 %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+119 %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0,42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+36 %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+83 %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денежные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0,58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+54 %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+68 %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товарные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1,76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41 %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0,08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+50 %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+524 %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0,21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+49 %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прочие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13,73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1,30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23 %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0,46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+118 %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+92 %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0B0B0B"/>
              </w:rPr>
              <w:t>CoR — КБ и ПБ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−0,29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5,04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82 %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0,0004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+97 %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+85 %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замещающий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0B0B0B"/>
              </w:rPr>
              <w:t>CoR — МСБ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1,80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4,86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81 %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&lt; 0,0001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+84 %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+28 %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замещающий</w:t>
            </w:r>
          </w:p>
        </w:tc>
      </w:tr>
    </w:tbl>
    <w:p/>
    <w:p>
      <w:pPr>
        <w:jc w:val="both"/>
      </w:pPr>
      <w:r>
        <w:rPr>
          <w:color w:val="0B0B0B"/>
        </w:rPr>
        <w:t>*Доля дисперсии* — какая часть изменчивости месячных приращений приходится на шесть приращений февраля–марта из 35. При однородном ходе она составляла бы около 17 %. *К3* — насколько буфер модели шире (+) или уже (−) фактического 90-го процентиля.</w:t>
      </w:r>
    </w:p>
    <w:p>
      <w:pPr>
        <w:jc w:val="both"/>
      </w:pPr>
      <w:r>
        <w:rPr>
          <w:b/>
          <w:color w:val="0B0B0B"/>
        </w:rPr>
        <w:t>Десять показателей выполняют все три условия.</w:t>
      </w:r>
      <w:r>
        <w:rPr>
          <w:color w:val="0B0B0B"/>
        </w:rPr>
        <w:t xml:space="preserve"> Среди них топ-20, для которого метод был выбран первым. Правило, применённое к нему наравне с остальными, его не отклоняет.</w:t>
      </w:r>
    </w:p>
    <w:p>
      <w:pPr>
        <w:jc w:val="both"/>
      </w:pPr>
      <w:r>
        <w:rPr>
          <w:b/>
          <w:color w:val="0B0B0B"/>
        </w:rPr>
        <w:t>Обе метрики стоимости риска не выполняют К2.</w:t>
      </w:r>
      <w:r>
        <w:rPr>
          <w:color w:val="0B0B0B"/>
        </w:rPr>
        <w:t xml:space="preserve"> Четыре пятых всей изменчивости их месячных приращений (82 % и 81 %) приходится на два месяца годового закрытия: волатильность февраля–марта в 5,04 и 4,86 раза выше, чем в остальные месяцы. У остальных десяти показателей это отношение не превышает 1,76. Стоимость риска по КБ и ПБ, кроме того, не выполняет К1: </w:t>
      </w:r>
      <w:r>
        <w:rPr>
          <w:rFonts w:ascii="Consolas" w:hAnsi="Consolas"/>
          <w:color w:val="0B0B0B"/>
          <w:sz w:val="19"/>
        </w:rPr>
        <w:t>M(4) = 3,285</w:t>
      </w:r>
      <w:r>
        <w:rPr>
          <w:color w:val="0B0B0B"/>
        </w:rPr>
        <w:t xml:space="preserve"> больше уровня 3,00.</w:t>
      </w:r>
    </w:p>
    <w:p>
      <w:pPr>
        <w:jc w:val="both"/>
      </w:pPr>
      <w:r>
        <w:rPr>
          <w:color w:val="0B0B0B"/>
        </w:rPr>
        <w:t>Это и есть та ненормальность, которую формула поглотить не может. У остальных десяти показателей отклонения от нормальности такой календарной структуры не имеют: доля февраля–марта в их дисперсии от 1 до 41 %, отношение σ не выше 1,76. Такие отклонения сглаживаются в сумме за четыре месяца — это подтверждает К3. Распределение приращений CoR — смесь двух режимов с разной шириной (эксцесс 12,5 и 8,0). Единая σ для такого ряда ошибается систематически, а не случайно: граница оказывается слишком узкой в месяцы закрытия и слишком широкой в остальные десять.</w:t>
      </w:r>
    </w:p>
    <w:p>
      <w:pPr>
        <w:jc w:val="both"/>
      </w:pPr>
      <w:r>
        <w:rPr>
          <w:b/>
          <w:color w:val="0B0B0B"/>
        </w:rPr>
        <w:t>Где решение ближе всего к порогу — раскрывается сознательно.</w:t>
      </w:r>
    </w:p>
    <w:p>
      <w:pPr>
        <w:pStyle w:val="ListBullet"/>
      </w:pPr>
      <w:r>
        <w:rPr>
          <w:color w:val="0B0B0B"/>
        </w:rPr>
        <w:t>По К2 ближе всех PD по необеспеченным товарным кредитам: p = 0,08, отношение 1,76.</w:t>
      </w:r>
    </w:p>
    <w:p>
      <w:pPr>
        <w:pStyle w:val="ListBullet"/>
      </w:pPr>
      <w:r>
        <w:rPr>
          <w:color w:val="0B0B0B"/>
        </w:rPr>
        <w:t>По К3 ближе всех PD по обеспеченным кредитам: на горизонте четырёх месяцев модельный</w:t>
      </w:r>
    </w:p>
    <w:p>
      <w:pPr>
        <w:jc w:val="both"/>
      </w:pPr>
      <w:r>
        <w:rPr>
          <w:color w:val="0B0B0B"/>
        </w:rPr>
        <w:t>буфер на 19 % уже фактического процентиля. Это в пределах погрешности оценки σ.</w:t>
      </w:r>
    </w:p>
    <w:p>
      <w:pPr>
        <w:pStyle w:val="ListBullet"/>
      </w:pPr>
      <w:r>
        <w:rPr>
          <w:color w:val="0B0B0B"/>
        </w:rPr>
        <w:t>Классический F-тест на уровне 5 % добавил бы к двум CoR оба этих показателя (p = 0,049</w:t>
      </w:r>
    </w:p>
    <w:p>
      <w:pPr>
        <w:jc w:val="both"/>
      </w:pPr>
      <w:r>
        <w:rPr>
          <w:color w:val="0B0B0B"/>
        </w:rPr>
        <w:t>и p = 0,003). У PD обеспеченных отклонение обратного знака: в феврале–марте этот показатель в пять раз *спокойнее* прочих месяцев, и единая σ ниже σ обычных месяцев на 9 % — в пределах допуска.</w:t>
      </w:r>
    </w:p>
    <w:p>
      <w:pPr>
        <w:pStyle w:val="ListBullet"/>
      </w:pPr>
      <w:r>
        <w:rPr>
          <w:color w:val="0B0B0B"/>
        </w:rPr>
        <w:t>По обоим показателям прямая проверка К3 подтверждает, что буфер покрывает фактический</w:t>
      </w:r>
    </w:p>
    <w:p>
      <w:pPr>
        <w:jc w:val="both"/>
      </w:pPr>
      <w:r>
        <w:rPr>
          <w:color w:val="0B0B0B"/>
        </w:rPr>
        <w:t>ход. Оба входят в ежегодный бэк-тест (§ N+4).</w:t>
      </w:r>
    </w:p>
    <w:p>
      <w:pPr>
        <w:jc w:val="both"/>
      </w:pPr>
      <w:r>
        <w:rPr>
          <w:color w:val="0B0B0B"/>
        </w:rPr>
        <w:t>Для двух CoR вывод не зависит ни от выбора теста, ни от уровня значимости: оба теста отклоняют однородность с p &lt; 0,001.</w:t>
      </w:r>
    </w:p>
    <w:p>
      <w:pPr>
        <w:pStyle w:val="Heading2"/>
      </w:pPr>
      <w:r>
        <w:t>N+1. Девять розничных показателей: основной метод без изменений</w:t>
      </w:r>
    </w:p>
    <w:p>
      <w:pPr>
        <w:jc w:val="both"/>
      </w:pPr>
      <w:r>
        <w:rPr>
          <w:color w:val="0B0B0B"/>
        </w:rPr>
        <w:t>Пять показателей вероятности дефолта и четыре показателя ожидаемых потерь выполняют все три условия. К ним применена формула запаса времени с параметрами топ-20: T = 4 месяца для границы зелёной зоны, T = 1 месяц для границы красной, z(0,90) = 1,2816.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Факт 07.2026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σ_Δ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Граница зелёной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Граница красной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Зона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Расстояние до уровня, σ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общий портфель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2,76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0,080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8,79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8,90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77,9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необеспеченный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7,57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0,127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9,84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19,2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1,64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0,052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6,93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103,9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прочий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2,47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0,085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9,78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9,89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88,3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10,96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0,123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14,84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32,7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денежные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11,05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0,145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14,81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27,3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товарные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10,59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0,101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43,7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5,01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19,9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прочие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3,65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0,104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13,73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13,87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99,4</w:t>
            </w:r>
          </w:p>
        </w:tc>
      </w:tr>
    </w:tbl>
    <w:p/>
    <w:p>
      <w:pPr>
        <w:jc w:val="both"/>
      </w:pPr>
      <w:r>
        <w:rPr>
          <w:color w:val="0B0B0B"/>
        </w:rPr>
        <w:t>Все девять показателей находятся в зелёной зоне, и находились в ней все 36 месяцев окна. Уровни использованы на 23–76 %. Расстояние до уровня составляет от 19 до 104 собственных стандартных отклонений месячного хода.</w:t>
      </w:r>
    </w:p>
    <w:p>
      <w:pPr>
        <w:pStyle w:val="Heading3"/>
      </w:pPr>
      <w:r>
        <w:t>N+1.1 Почему граница стоит близко к уровню</w:t>
      </w:r>
    </w:p>
    <w:p>
      <w:pPr>
        <w:jc w:val="both"/>
      </w:pPr>
      <w:r>
        <w:rPr>
          <w:color w:val="0B0B0B"/>
        </w:rPr>
        <w:t>Граница зелёной зоны у этих показателей лежит на 96–98 % уровня. Это следствие метода, а не выбор. Граница поставлена в точку, от которой показатель даже при своём 90-процентном темпе дойдёт до уровня не быстрее, чем за цикл реагирования. У розничных показателей σ месячного хода составляет 0,05–0,15 пп, поэтому четырёхмесячный буфер занимает 0,13–0,37 пп.</w:t>
      </w:r>
    </w:p>
    <w:p>
      <w:pPr>
        <w:jc w:val="both"/>
      </w:pPr>
      <w:r>
        <w:rPr>
          <w:color w:val="0B0B0B"/>
        </w:rPr>
        <w:t>Граница, поставленная дальше от уровня, — например, на фиксированных 80 % — не опиралась бы на поведение показателя. Её пришлось бы обосновывать отдельно по каждому из девяти, и единый подход был бы потерян.</w:t>
      </w:r>
    </w:p>
    <w:p>
      <w:pPr>
        <w:pStyle w:val="Heading3"/>
      </w:pPr>
      <w:r>
        <w:t>N+1.2 Контроль динамики обеспечивают триггеры</w:t>
      </w:r>
    </w:p>
    <w:p>
      <w:pPr>
        <w:jc w:val="both"/>
      </w:pPr>
      <w:r>
        <w:rPr>
          <w:color w:val="0B0B0B"/>
        </w:rPr>
        <w:t xml:space="preserve">Зона контролирует </w:t>
      </w:r>
      <w:r>
        <w:rPr>
          <w:b/>
          <w:color w:val="0B0B0B"/>
        </w:rPr>
        <w:t>уровень</w:t>
      </w:r>
      <w:r>
        <w:rPr>
          <w:color w:val="0B0B0B"/>
        </w:rPr>
        <w:t xml:space="preserve"> показателя, триггеры — </w:t>
      </w:r>
      <w:r>
        <w:rPr>
          <w:b/>
          <w:color w:val="0B0B0B"/>
        </w:rPr>
        <w:t>скорость</w:t>
      </w:r>
      <w:r>
        <w:rPr>
          <w:color w:val="0B0B0B"/>
        </w:rPr>
        <w:t xml:space="preserve"> его изменения. Триггеры срабатывают независимо от зоны. Для этих девяти показателей такая конструкция не остаётся без дела: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На 9 показателях × 32 месяца = 288 наблюдениях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Срабатываний T1 (месячный ход не меньше M(1))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Срабатываний T2 (ход за 4 месяца не меньше M(4))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Наблюдений на уровне R1 (учащённое наблюдение)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Наблюдений на уровне R2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Наблюдений на уровнях R3–R4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0</w:t>
            </w:r>
          </w:p>
        </w:tc>
      </w:tr>
    </w:tbl>
    <w:p/>
    <w:p>
      <w:pPr>
        <w:jc w:val="both"/>
      </w:pPr>
      <w:r>
        <w:rPr>
          <w:color w:val="0B0B0B"/>
        </w:rPr>
        <w:t>При том, что все девять всё время были в зелёной зоне, машина мер 29 раз поднимала уровень реакции выше R0. Раннее предупреждение по этим показателям работает через движение, как и задумано: зона отвечает на вопрос «насколько близко», триггер — на вопрос «насколько быстро».</w:t>
      </w:r>
    </w:p>
    <w:p>
      <w:pPr>
        <w:pStyle w:val="Heading3"/>
      </w:pPr>
      <w:r>
        <w:t>N+1.3 Что характеризует удалённость от уровня</w:t>
      </w:r>
    </w:p>
    <w:p>
      <w:pPr>
        <w:jc w:val="both"/>
      </w:pPr>
      <w:r>
        <w:rPr>
          <w:color w:val="0B0B0B"/>
        </w:rPr>
        <w:t xml:space="preserve">Использование уровней на 23–76 % — характеристика </w:t>
      </w:r>
      <w:r>
        <w:rPr>
          <w:b/>
          <w:color w:val="0B0B0B"/>
        </w:rPr>
        <w:t>текущего профиля риска относительно установленных уровней</w:t>
      </w:r>
      <w:r>
        <w:rPr>
          <w:color w:val="0B0B0B"/>
        </w:rPr>
        <w:t>. Метод разметки её не создаёт и не устраняет. Соответствие самих значений уровней текущему профилю риска относится к актуализации значений риск-аппетита — это предмет следующего этапа. Разметка от ответа не зависит: при пересмотре уровня границы пересчитываются той же формулой.</w:t>
      </w:r>
    </w:p>
    <w:p>
      <w:pPr>
        <w:pStyle w:val="Heading2"/>
      </w:pPr>
      <w:r>
        <w:t>N+2. Две метрики стоимости риска: замещающий метод</w:t>
      </w:r>
    </w:p>
    <w:p>
      <w:pPr>
        <w:pStyle w:val="Heading3"/>
      </w:pPr>
      <w:r>
        <w:t>N+2.1 Метод</w:t>
      </w:r>
    </w:p>
    <w:p>
      <w:pPr>
        <w:jc w:val="both"/>
      </w:pPr>
      <w:r>
        <w:rPr>
          <w:color w:val="0B0B0B"/>
        </w:rPr>
        <w:t>Для показателей, не выполнивших хотя бы одно из условий К1–К3, применяется непараметрическая оценка при той же доверительной вероятности 90 % и на том же окне в 36 месяцев: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Граница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Как определяется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Зелёная / жёлтая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90-й процентиль значений показателя за 36 месяцев после отсечения выбросов по правилу Тьюки (1,5 межквартильного размаха)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выше этой точки показатель находится примерно в одном месяце из десяти — выход за неё означает выход из обычного для показателя диапазона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Жёлтая / красная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 минус 90-й процентиль фактического месячного изменения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эмпирический аналог M(1): один отчётный период хода до уровня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Пороги T1 / T2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90-й процентиль фактического изменения за 1 и за 4 месяца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эмпирический аналог M(1) и M(4)</w:t>
            </w:r>
          </w:p>
        </w:tc>
      </w:tr>
    </w:tbl>
    <w:p/>
    <w:p>
      <w:pPr>
        <w:jc w:val="both"/>
      </w:pPr>
      <w:r>
        <w:rPr>
          <w:b/>
          <w:color w:val="0B0B0B"/>
        </w:rPr>
        <w:t>Почему эмпирический квантиль.</w:t>
      </w:r>
      <w:r>
        <w:rPr>
          <w:color w:val="0B0B0B"/>
        </w:rPr>
        <w:t xml:space="preserve"> Когда предпосылки параметрической модели не выполнены, стандартная альтернатива — эмпирическое распределение той же величины без предположения о его форме. На этой логике построена историческая симуляция. Стандарт BCBS по рыночному риску (d457) не предписывает тип модели и допускает её наравне с параметрическими.</w:t>
      </w:r>
    </w:p>
    <w:p>
      <w:pPr>
        <w:jc w:val="both"/>
      </w:pPr>
      <w:r>
        <w:rPr>
          <w:b/>
          <w:color w:val="0B0B0B"/>
        </w:rPr>
        <w:t>Почему распределение значений, а не изменений.</w:t>
      </w:r>
      <w:r>
        <w:rPr>
          <w:color w:val="0B0B0B"/>
        </w:rPr>
        <w:t xml:space="preserve"> У CoR нет единой скорости хода (К2). Поэтому логика «расстояние, делённое на скорость», на которой стоит запас времени, теряет основу. Распределение значений за 36 месяцев учитывает сезон закрытия в его естественной доле — два месяца из двенадцати — и не требует моделировать календарь отдельно.</w:t>
      </w:r>
    </w:p>
    <w:p>
      <w:pPr>
        <w:jc w:val="both"/>
      </w:pPr>
      <w:r>
        <w:rPr>
          <w:b/>
          <w:color w:val="0B0B0B"/>
        </w:rPr>
        <w:t>Почему отсечение выбросов и как оно влияет.</w:t>
      </w:r>
      <w:r>
        <w:rPr>
          <w:color w:val="0B0B0B"/>
        </w:rPr>
        <w:t xml:space="preserve"> Правило Тьюки стандартное и применяется механически, без ручного выбора точек. Оно отсекло по одной точке на каждом показателе. Обе — крайние роспуски провизий, то есть благоприятные для Банка значения. На положение границы отсечение влияет в сотых долях процентного пункта: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Отсечено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Граница зелёной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Без отсечения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Граница в % уровня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Граница красной</w:t>
            </w:r>
            <w:r>
              <w:rPr>
                <w:color w:val="0B0B0B"/>
              </w:rPr>
              <w:t>*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Факт 07.2026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Зона</w:t>
            </w:r>
          </w:p>
        </w:tc>
      </w:tr>
      <w:tr>
        <w:tc>
          <w:tcPr>
            <w:tcW w:type="dxa" w:w="960"/>
          </w:tcPr>
          <w:p>
            <w:r>
              <w:rPr>
                <w:color w:val="0B0B0B"/>
              </w:rPr>
              <w:t>CoR — КБ и ПБ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3,00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02.2024: −7,64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+0,52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+0,50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17,5 %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2,17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−0,27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960"/>
          </w:tcPr>
          <w:p>
            <w:r>
              <w:rPr>
                <w:color w:val="0B0B0B"/>
              </w:rPr>
              <w:t>CoR — МСБ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3,50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03.2025: −3,41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+0,24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+0,23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6,8 %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3,04</w:t>
            </w:r>
          </w:p>
        </w:tc>
        <w:tc>
          <w:tcPr>
            <w:tcW w:type="dxa" w:w="960"/>
          </w:tcPr>
          <w:p>
            <w:r>
              <w:rPr>
                <w:color w:val="0B0B0B"/>
              </w:rPr>
              <w:t>+0,27</w:t>
            </w:r>
          </w:p>
        </w:tc>
        <w:tc>
          <w:tcPr>
            <w:tcW w:type="dxa" w:w="960"/>
          </w:tcPr>
          <w:p>
            <w:r>
              <w:rPr>
                <w:b/>
                <w:color w:val="0B0B0B"/>
              </w:rPr>
              <w:t>жёлтая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\* Граница красной зоны и пороги триггеров по CoR (T1 / T2: 0,83 / 1,78 для КБ и ПБ, 0,46 / 1,32 для МСБ) — </w:t>
      </w:r>
      <w:r>
        <w:rPr>
          <w:b/>
          <w:color w:val="0B0B0B"/>
        </w:rPr>
        <w:t>предложение, требующее подтверждения</w:t>
      </w:r>
      <w:r>
        <w:rPr>
          <w:color w:val="0B0B0B"/>
        </w:rPr>
        <w:t>. Граница зелёной зоны определена решением.</w:t>
      </w:r>
    </w:p>
    <w:p>
      <w:pPr>
        <w:pStyle w:val="Heading3"/>
      </w:pPr>
      <w:r>
        <w:t>N+2.2 Почему для CoR граница считается от обычного диапазона</w:t>
      </w:r>
    </w:p>
    <w:p>
      <w:pPr>
        <w:jc w:val="both"/>
      </w:pPr>
      <w:r>
        <w:rPr>
          <w:color w:val="0B0B0B"/>
        </w:rPr>
        <w:t>Цель разметки одна для всех двенадцати показателей: дать сигнал достаточно рано, чтобы успеть отреагировать до уровня. Для десяти показателей надёжная мера оставшегося времени — расстояние до уровня: они не проходят его быстрее, чем предсказывает их однородный ход.</w:t>
      </w:r>
    </w:p>
    <w:p>
      <w:pPr>
        <w:jc w:val="both"/>
      </w:pPr>
      <w:r>
        <w:rPr>
          <w:color w:val="0B0B0B"/>
        </w:rPr>
        <w:t>Для стоимости риска расстояние такой меры не даёт. В месяц закрытия показатель способен пройти за один месяц расстояние, сопоставимое с уровнем. Наибольшее месячное повышение за окно пришлось на март 2024 года: +2,92 пп по КБ и ПБ (97 % уровня) и +1,62 пп по МСБ (46 % уровня). Надёжный ранний сигнал для такого показателя — выход из обычного для него диапазона.</w:t>
      </w:r>
    </w:p>
    <w:p>
      <w:pPr>
        <w:jc w:val="both"/>
      </w:pPr>
      <w:r>
        <w:rPr>
          <w:color w:val="0B0B0B"/>
        </w:rPr>
        <w:t xml:space="preserve">Этот сигнал возникает </w:t>
      </w:r>
      <w:r>
        <w:rPr>
          <w:b/>
          <w:color w:val="0B0B0B"/>
        </w:rPr>
        <w:t>раньше</w:t>
      </w:r>
      <w:r>
        <w:rPr>
          <w:color w:val="0B0B0B"/>
        </w:rPr>
        <w:t xml:space="preserve"> сигнала по расстоянию, какой бы способ оценки расстояния ни взять. Граница по формуле запаса времени для МСБ — 1,80. Граница по эмпирическому ходу, посчитанная раздельно для обычных месяцев и для месяцев закрытия, — 2,49 и 1,96 по МСБ, 1,57 и 0,73 по КБ и ПБ (</w:t>
      </w:r>
      <w:r>
        <w:rPr>
          <w:rFonts w:ascii="Consolas" w:hAnsi="Consolas"/>
          <w:color w:val="0B0B0B"/>
          <w:sz w:val="19"/>
        </w:rPr>
        <w:t>calib/normality_triage.py</w:t>
      </w:r>
      <w:r>
        <w:rPr>
          <w:color w:val="0B0B0B"/>
        </w:rPr>
        <w:t>, режимная симуляция). Принятые границы +0,24 и +0,52 ниже каждой из них. Замена метода сдвигает сигнал в консервативную сторону, а не в удобную.</w:t>
      </w:r>
    </w:p>
    <w:p>
      <w:pPr>
        <w:jc w:val="both"/>
      </w:pPr>
      <w:r>
        <w:rPr>
          <w:color w:val="0B0B0B"/>
        </w:rPr>
        <w:t>По построению показатель находится выше границы примерно в одном месяце из десяти. Фактически — 4 месяца из 36 по каждой метрике. По предложенной границе красной зоны стоимость риска по КБ и ПБ была в красной зоне один раз — в 08.2023, первом месяце окна (+2,27 %); по МСБ — ни разу.</w:t>
      </w:r>
    </w:p>
    <w:p>
      <w:pPr>
        <w:pStyle w:val="Heading3"/>
      </w:pPr>
      <w:r>
        <w:t>N+2.3 Стоимость риска по МСБ в жёлтой зоне</w:t>
      </w:r>
    </w:p>
    <w:p>
      <w:pPr>
        <w:jc w:val="both"/>
      </w:pPr>
      <w:r>
        <w:rPr>
          <w:color w:val="0B0B0B"/>
        </w:rPr>
        <w:t>Факт на 07.2026 — +0,27 % при границе +0,24 %. Показатель стоит у нижнего края жёлтой зоны.</w:t>
      </w:r>
    </w:p>
    <w:p>
      <w:pPr>
        <w:jc w:val="both"/>
      </w:pPr>
      <w:r>
        <w:rPr>
          <w:b/>
          <w:color w:val="0B0B0B"/>
        </w:rPr>
        <w:t>Что это означает на данных.</w:t>
      </w:r>
      <w:r>
        <w:rPr>
          <w:color w:val="0B0B0B"/>
        </w:rPr>
        <w:t xml:space="preserve"> За 36 месяцев окна стоимость риска по МСБ 30 месяцев была отрицательной — чистый роспуск провизий. Все шесть положительных значений идут подряд с февраля по июль 2026 года. Это первый в окне наблюдения переход от роспуска к чистому начислению, и он держится полгода. Жёлтая зона фиксирует именно это изменение поведения — раньше, чем оно могло бы стать вопросом расстояния до уровня.</w:t>
      </w:r>
    </w:p>
    <w:p>
      <w:pPr>
        <w:jc w:val="both"/>
      </w:pPr>
      <w:r>
        <w:rPr>
          <w:b/>
          <w:color w:val="0B0B0B"/>
        </w:rPr>
        <w:t>Что это требует.</w:t>
      </w:r>
      <w:r>
        <w:rPr>
          <w:color w:val="0B0B0B"/>
        </w:rPr>
        <w:t xml:space="preserve"> Жёлтая зона без сработавших триггеров соответствует уровню реакции R1: учащённое наблюдение, еженедельный расчёт силами владельца метрики и БРМ, разбор источников начисления. Это отвечает определению жёлтой зоны в Приложении № 2 — «отдельные корректирующие меры в действующих процедурах системы управления рисками» — и соразмерно сигналу.</w:t>
      </w:r>
    </w:p>
    <w:p>
      <w:pPr>
        <w:pStyle w:val="Heading3"/>
      </w:pPr>
      <w:r>
        <w:t>N+2.4 Условность разметки по CoR</w:t>
      </w:r>
    </w:p>
    <w:p>
      <w:pPr>
        <w:jc w:val="both"/>
      </w:pPr>
      <w:r>
        <w:rPr>
          <w:color w:val="0B0B0B"/>
        </w:rPr>
        <w:t xml:space="preserve">Обе метрики стоимости риска размечены </w:t>
      </w:r>
      <w:r>
        <w:rPr>
          <w:b/>
          <w:color w:val="0B0B0B"/>
        </w:rPr>
        <w:t>предварительно</w:t>
      </w:r>
      <w:r>
        <w:rPr>
          <w:color w:val="0B0B0B"/>
        </w:rPr>
        <w:t xml:space="preserve"> до подтверждения формулы расчёта ряда. На всех листах формы 50 показатель стоит вписанными значениями, без формулы, в отличие от EL и PD, которые являются внешними ссылками. Причина календарной неоднородности также не установлена. После подтверждения формулы разметка пересчитывается тем же прогоном. Остальные десять показателей от этого вопроса не зависят.</w:t>
      </w:r>
    </w:p>
    <w:p>
      <w:pPr>
        <w:pStyle w:val="Heading2"/>
      </w:pPr>
      <w:r>
        <w:t>N+3.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B0B0B"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Условия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Показателей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Какие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Зона на 07.2026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 xml:space="preserve">Запас времени </w:t>
            </w:r>
            <w:r>
              <w:rPr>
                <w:rFonts w:ascii="Consolas" w:hAnsi="Consolas"/>
                <w:color w:val="0B0B0B"/>
                <w:sz w:val="19"/>
              </w:rPr>
              <w:t>M(T) = z·σ·√T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К1, К2, К3 выполнены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топ-20; пять PD и четыре EL по розничному бизнесу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топ-20 — жёлтая; девять розничных — зелёная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Эмпирический квантиль значений за 36 месяцев с отсечением выбросов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не выполнено К2 (оба), К1 (КБ и ПБ)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стоимость риска по КБ и ПБ и по МСБ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КБ и ПБ — зелёная; МСБ — жёлтая</w:t>
            </w:r>
          </w:p>
        </w:tc>
      </w:tr>
    </w:tbl>
    <w:p/>
    <w:p>
      <w:pPr>
        <w:pStyle w:val="Heading2"/>
      </w:pPr>
      <w:r>
        <w:t>N+4. Как метод контролируется</w:t>
      </w:r>
    </w:p>
    <w:p>
      <w:pPr>
        <w:pStyle w:val="ListNumber"/>
      </w:pPr>
      <w:r>
        <w:rPr>
          <w:b/>
          <w:color w:val="0B0B0B"/>
        </w:rPr>
        <w:t>Ежегодная перекалибровка.</w:t>
      </w:r>
      <w:r>
        <w:rPr>
          <w:color w:val="0B0B0B"/>
        </w:rPr>
        <w:t xml:space="preserve"> На обновлённом 36-месячном окне заново оцениваются</w:t>
      </w:r>
    </w:p>
    <w:p>
      <w:pPr>
        <w:jc w:val="both"/>
      </w:pPr>
      <w:r>
        <w:rPr>
          <w:color w:val="0B0B0B"/>
        </w:rPr>
        <w:t>σ и квантили и заново проверяются условия К1–К3. Закреплено правило, а не список показателей: показатель переходит с одного метода на другой, если меняется результат проверки.</w:t>
      </w:r>
    </w:p>
    <w:p>
      <w:pPr>
        <w:pStyle w:val="ListNumber"/>
      </w:pPr>
      <w:r>
        <w:rPr>
          <w:b/>
          <w:color w:val="0B0B0B"/>
        </w:rPr>
        <w:t>Ежегодный бэк-тест.</w:t>
      </w:r>
      <w:r>
        <w:rPr>
          <w:color w:val="0B0B0B"/>
        </w:rPr>
        <w:t xml:space="preserve"> Фактическая частота срабатываний сравнивается с расчётной.</w:t>
      </w:r>
    </w:p>
    <w:p>
      <w:pPr>
        <w:jc w:val="both"/>
      </w:pPr>
      <w:r>
        <w:rPr>
          <w:color w:val="0B0B0B"/>
        </w:rPr>
        <w:t>Сейчас T1 по девяти розничным показателям срабатывал в 20 наблюдениях из 315 (6,3 %), по десяти показателям основного метода — в 6,9 % месяцев, при расчётных 10 %. Частота ниже расчётной, потому что показатели EL и PD три года снижаются, а формула принимает снос нулевым. Снос сознательно не учитывается, иначе разметка опиралась бы на продолжение благоприятной тенденции. Если бэк-тест покажет, что модель уже фактического хода больше допуска К3, показатель при следующей перекалибровке переходит на замещающий метод.</w:t>
      </w:r>
    </w:p>
    <w:p>
      <w:pPr>
        <w:pStyle w:val="ListNumber"/>
      </w:pPr>
      <w:r>
        <w:rPr>
          <w:b/>
          <w:color w:val="0B0B0B"/>
        </w:rPr>
        <w:t>Защита между перекалибровками.</w:t>
      </w:r>
      <w:r>
        <w:rPr>
          <w:color w:val="0B0B0B"/>
        </w:rPr>
        <w:t xml:space="preserve"> Окно 08.2023 — 07.2026 пришлось на снижение EL и PD,</w:t>
      </w:r>
    </w:p>
    <w:p>
      <w:pPr>
        <w:jc w:val="both"/>
      </w:pPr>
      <w:r>
        <w:rPr>
          <w:color w:val="0B0B0B"/>
        </w:rPr>
        <w:t>и σ оценена на нём. Если волатильность вырастет, триггеры отреагируют на сам скачок в месяце, когда он произошёл, не дожидаясь перекалибровки. Перекалибровка затем отодвинет границы от уровня.</w:t>
      </w:r>
    </w:p>
    <w:p>
      <w:pPr>
        <w:pStyle w:val="ListNumber"/>
      </w:pPr>
      <w:r>
        <w:rPr>
          <w:b/>
          <w:color w:val="0B0B0B"/>
        </w:rPr>
        <w:t>Точность оценок.</w:t>
      </w:r>
      <w:r>
        <w:rPr>
          <w:color w:val="0B0B0B"/>
        </w:rPr>
        <w:t xml:space="preserve"> 36 наблюдений — короткий ряд. Четырёхмесячных окон 32,</w:t>
      </w:r>
    </w:p>
    <w:p>
      <w:pPr>
        <w:jc w:val="both"/>
      </w:pPr>
      <w:r>
        <w:rPr>
          <w:color w:val="0B0B0B"/>
        </w:rPr>
        <w:t>но независимых из них восемь, поэтому эмпирические квантили неточны. Это учтено допуском К3 в две стандартные ошибки и ежегодной повторной проверкой. Повысить точность можно только удлинением ряда.</w:t>
      </w:r>
    </w:p>
    <w:p>
      <w:pPr>
        <w:pStyle w:val="Heading2"/>
      </w:pPr>
      <w:r>
        <w:t>Возражения к разделу</w:t>
      </w:r>
    </w:p>
    <w:p>
      <w:pPr>
        <w:jc w:val="both"/>
      </w:pPr>
      <w:r>
        <w:rPr>
          <w:b/>
          <w:color w:val="0B0B0B"/>
        </w:rPr>
        <w:t>«Критерии подобраны так, чтобы стоимость риска выпала».</w:t>
      </w:r>
      <w:r>
        <w:rPr>
          <w:color w:val="0B0B0B"/>
        </w:rPr>
        <w:t xml:space="preserve"> Каждое условие — предпосылка самой формулы. К1 — арифметика, К2 — основание множителя √T, К3 — прямая проверка результата формулы. Правило применено одинаково ко всем двенадцати, включая топ-20, и топ-20 его проходит. Пороги общепринятые (5 %) либо выведены из объёма выборки (25 % = две стандартные ошибки σ). Для CoR вывод устойчив к выбору теста и уровня значимости. Показатели, близкие к порогам, названы поимённо.</w:t>
      </w:r>
    </w:p>
    <w:p>
      <w:pPr>
        <w:jc w:val="both"/>
      </w:pPr>
      <w:r>
        <w:rPr>
          <w:b/>
          <w:color w:val="0B0B0B"/>
        </w:rPr>
        <w:t>«Два метода делают зоны несопоставимыми».</w:t>
      </w:r>
      <w:r>
        <w:rPr>
          <w:color w:val="0B0B0B"/>
        </w:rPr>
        <w:t xml:space="preserve"> Зоны сопоставимы по назначению, по доверительной вероятности, по окну и по реакции: машина мер не различает, каким способом получена граница. Различается только оценка хода. Её выбирают данные по заранее определённому правилу.</w:t>
      </w:r>
    </w:p>
    <w:p>
      <w:pPr>
        <w:jc w:val="both"/>
      </w:pPr>
      <w:r>
        <w:rPr>
          <w:b/>
          <w:color w:val="0B0B0B"/>
        </w:rPr>
        <w:t>«Жёлтая зона по МСБ при запасе 3,23 пп до уровня — ложная тревога».</w:t>
      </w:r>
      <w:r>
        <w:rPr>
          <w:color w:val="0B0B0B"/>
        </w:rPr>
        <w:t xml:space="preserve"> По МСБ жёлтая зона фиксирует не близость к уровню, а первую за окно смену роспуска на начисление. Мера, которую она запускает (R1), — наблюдение и разбор причин, а не ограничение бизнеса. Для показателя, способного за месяц закрытия пройти почти половину уровня, это своевременный сигнал.</w:t>
      </w:r>
    </w:p>
    <w:p>
      <w:pPr>
        <w:pStyle w:val="Heading2"/>
      </w:pPr>
      <w:r>
        <w:t>Приложение к § N.2: тесты и пороги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Условие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Порог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Почему так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К1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L − M(4) &gt; 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арифметика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К2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тест Левене с центрированием по медиане (Brown–Forsythe): равны ли дисперсии приращений февраля–марта и остальных месяцев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p ≥ 0,05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приращения девяти показателей из двенадцати ненормальны, а классический F-тест к ненормальности неустойчив; 5 % — общепринятый уровень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К3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z·σ·√T</w:t>
            </w:r>
            <w:r>
              <w:rPr>
                <w:color w:val="0B0B0B"/>
              </w:rPr>
              <w:t xml:space="preserve"> против 90-го процентиля фактических изменений за T = 1 и T = 4 месяца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модель не уже факта более чем на 25 %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25 % — две стандартные ошибки оценки σ на 35 приращениях (</w:t>
            </w:r>
            <w:r>
              <w:rPr>
                <w:rFonts w:ascii="Consolas" w:hAnsi="Consolas"/>
                <w:color w:val="0B0B0B"/>
                <w:sz w:val="19"/>
              </w:rPr>
              <w:t>1/√(2·34) ≈ 12 %</w:t>
            </w:r>
            <w:r>
              <w:rPr>
                <w:color w:val="0B0B0B"/>
              </w:rPr>
              <w:t>); расхождение внутри допуска неотличимо от погрешности самой σ</w:t>
            </w:r>
          </w:p>
        </w:tc>
      </w:tr>
    </w:tbl>
    <w:p/>
    <w:p>
      <w:pPr>
        <w:jc w:val="both"/>
      </w:pPr>
      <w:r>
        <w:rPr>
          <w:b/>
          <w:color w:val="0B0B0B"/>
        </w:rPr>
        <w:t>Почему К2 проверяется именно так.</w:t>
      </w:r>
      <w:r>
        <w:rPr>
          <w:color w:val="0B0B0B"/>
        </w:rPr>
        <w:t xml:space="preserve"> Одна σ для всех месяцев и множитель √T предполагают, что каждый месяц года движется одинаково. Разбиение «февраль–март против остальных» задано календарём годовой отчётности и одинаково для всех двенадцати показателей; под отдельный показатель оно не подбиралось.</w:t>
      </w:r>
    </w:p>
    <w:p>
      <w:pPr>
        <w:jc w:val="both"/>
      </w:pPr>
      <w:r>
        <w:rPr>
          <w:b/>
          <w:color w:val="0B0B0B"/>
        </w:rPr>
        <w:t>Почему не опираемся на центральную предельную теорему.</w:t>
      </w:r>
      <w:r>
        <w:rPr>
          <w:color w:val="0B0B0B"/>
        </w:rPr>
        <w:t xml:space="preserve"> Её оценка погрешности (неравенство Берри-Эссеена) на горизонте T = 4 достигает ±46 пп. Теорема объясняет, почему формула работает и на ненормальных рядах, но права её применять не даёт. Право даёт К3.</w:t>
      </w:r>
    </w:p>
    <w:p>
      <w:pPr>
        <w:pStyle w:val="Heading2"/>
      </w:pPr>
      <w:r>
        <w:t>Что доказано, что взято из документа, что предложено</w:t>
      </w:r>
    </w:p>
    <w:p>
      <w:pPr>
        <w:pStyle w:val="ListBullet"/>
      </w:pPr>
      <w:r>
        <w:rPr>
          <w:b/>
          <w:color w:val="0B0B0B"/>
        </w:rPr>
        <w:t>Доказано на данных:</w:t>
      </w:r>
      <w:r>
        <w:rPr>
          <w:color w:val="0B0B0B"/>
        </w:rPr>
        <w:t xml:space="preserve"> результаты проверки К1–К3 по двенадцати показателям; границы</w:t>
      </w:r>
    </w:p>
    <w:p>
      <w:pPr>
        <w:jc w:val="both"/>
      </w:pPr>
      <w:r>
        <w:rPr>
          <w:color w:val="0B0B0B"/>
        </w:rPr>
        <w:t xml:space="preserve">и зоны; доля сезонной дисперсии CoR; нагрузка машины мер; частота срабатываний. Всё воспроизводится </w:t>
      </w:r>
      <w:r>
        <w:rPr>
          <w:rFonts w:ascii="Consolas" w:hAnsi="Consolas"/>
          <w:color w:val="0B0B0B"/>
          <w:sz w:val="19"/>
        </w:rPr>
        <w:t>calib/method_selection.py</w:t>
      </w:r>
      <w:r>
        <w:rPr>
          <w:color w:val="0B0B0B"/>
        </w:rPr>
        <w:t>.</w:t>
      </w:r>
    </w:p>
    <w:p>
      <w:pPr>
        <w:pStyle w:val="ListBullet"/>
      </w:pPr>
      <w:r>
        <w:rPr>
          <w:b/>
          <w:color w:val="0B0B0B"/>
        </w:rPr>
        <w:t>Взято из документа:</w:t>
      </w:r>
      <w:r>
        <w:rPr>
          <w:color w:val="0B0B0B"/>
        </w:rPr>
        <w:t xml:space="preserve"> определения зон — Приложение № 2; отсутствие формулы CoR</w:t>
      </w:r>
    </w:p>
    <w:p>
      <w:pPr>
        <w:jc w:val="both"/>
      </w:pPr>
      <w:r>
        <w:rPr>
          <w:color w:val="0B0B0B"/>
        </w:rPr>
        <w:t>в форме 50.</w:t>
      </w:r>
    </w:p>
    <w:p>
      <w:pPr>
        <w:pStyle w:val="ListBullet"/>
      </w:pPr>
      <w:r>
        <w:rPr>
          <w:b/>
          <w:color w:val="0B0B0B"/>
        </w:rPr>
        <w:t>Решение автора:</w:t>
      </w:r>
      <w:r>
        <w:rPr>
          <w:color w:val="0B0B0B"/>
        </w:rPr>
        <w:t xml:space="preserve"> граница зелёной зоны по CoR — 90-й процентиль значений с отсечением</w:t>
      </w:r>
    </w:p>
    <w:p>
      <w:pPr>
        <w:jc w:val="both"/>
      </w:pPr>
      <w:r>
        <w:rPr>
          <w:color w:val="0B0B0B"/>
        </w:rPr>
        <w:t>выбросов.</w:t>
      </w:r>
    </w:p>
    <w:p>
      <w:pPr>
        <w:pStyle w:val="ListBullet"/>
      </w:pPr>
      <w:r>
        <w:rPr>
          <w:b/>
          <w:color w:val="0B0B0B"/>
        </w:rPr>
        <w:t>Предложение, требует подтверждения:</w:t>
      </w:r>
      <w:r>
        <w:rPr>
          <w:color w:val="0B0B0B"/>
        </w:rPr>
        <w:t xml:space="preserve"> граница красной зоны и пороги триггеров по CoR.</w:t>
      </w:r>
    </w:p>
    <w:p>
      <w:pPr>
        <w:pStyle w:val="ListBullet"/>
      </w:pPr>
      <w:r>
        <w:rPr>
          <w:b/>
          <w:color w:val="0B0B0B"/>
        </w:rPr>
        <w:t>Не установлено:</w:t>
      </w:r>
      <w:r>
        <w:rPr>
          <w:color w:val="0B0B0B"/>
        </w:rPr>
        <w:t xml:space="preserve"> причина календарной неоднородности CoR и формула расчёта ряда.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