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Дополнение к аналитической записке: зоны по остальным одиннадцати показателям</w:t>
      </w:r>
    </w:p>
    <w:p>
      <w:pPr>
        <w:jc w:val="both"/>
      </w:pPr>
      <w:r>
        <w:rPr>
          <w:color w:val="0B0B0B"/>
        </w:rPr>
        <w:t>Записка разметила зоны по топ-20 формулой запаса времени. Дополнение отвечает на следующий вопрос: можно ли той же формулой разметить остальные одиннадцать показателей риск-аппетита по кредитному риску.</w:t>
      </w:r>
    </w:p>
    <w:p>
      <w:pPr>
        <w:jc w:val="both"/>
      </w:pPr>
      <w:r>
        <w:rPr>
          <w:b/>
          <w:color w:val="0B0B0B"/>
        </w:rPr>
        <w:t>Коротко.</w:t>
      </w:r>
      <w:r>
        <w:rPr>
          <w:color w:val="0B0B0B"/>
        </w:rPr>
        <w:t xml:space="preserve"> Для десяти показателей из двенадцати — да. Для двух метрик стоимости риска (CoR) — нет. Для них строится та же лестница зон, но ход показателя оценивается квантилем по 29 обычным месяцам.</w:t>
      </w:r>
    </w:p>
    <w:p>
      <w:pPr>
        <w:pStyle w:val="Heading2"/>
      </w:pPr>
      <w:r>
        <w:t>1. Формула запаса времени применима не всегда</w:t>
      </w:r>
    </w:p>
    <w:p>
      <w:pPr>
        <w:jc w:val="both"/>
      </w:pPr>
      <w:r>
        <w:rPr>
          <w:color w:val="0B0B0B"/>
        </w:rPr>
        <w:t xml:space="preserve">Напомним, как строится зона по топ-20. Граница зелёной зоны = уровень − M(4), где </w:t>
      </w:r>
      <w:r>
        <w:rPr>
          <w:rFonts w:ascii="Consolas" w:hAnsi="Consolas"/>
          <w:color w:val="0B0B0B"/>
          <w:sz w:val="19"/>
        </w:rPr>
        <w:t>M(4) = z · σ · √4</w:t>
      </w:r>
      <w:r>
        <w:rPr>
          <w:color w:val="0B0B0B"/>
        </w:rPr>
        <w:t xml:space="preserve"> — насколько показатель может сдвинуться за четыре месяца с вероятностью 90 %. Так граница ставится настолько далеко от уровня, чтобы у Банка было четыре месяца на реакцию. Это работает, если показатель движется равномерно.</w:t>
      </w:r>
    </w:p>
    <w:p>
      <w:pPr>
        <w:jc w:val="both"/>
      </w:pPr>
      <w:r>
        <w:rPr>
          <w:b/>
          <w:color w:val="0B0B0B"/>
        </w:rPr>
        <w:t>Стоимость риска по КБ и ПБ.</w:t>
      </w:r>
      <w:r>
        <w:rPr>
          <w:color w:val="0B0B0B"/>
        </w:rPr>
        <w:t xml:space="preserve"> Формула даёт M(4) = 3,29 пп при уровне 3,00 %. Граница зелёной зоны: 3,00 − 3,29 = </w:t>
      </w:r>
      <w:r>
        <w:rPr>
          <w:b/>
          <w:color w:val="0B0B0B"/>
        </w:rPr>
        <w:t>−0,29 %</w:t>
      </w:r>
      <w:r>
        <w:rPr>
          <w:color w:val="0B0B0B"/>
        </w:rPr>
        <w:t>.</w:t>
      </w:r>
    </w:p>
    <w:p>
      <w:pPr>
        <w:jc w:val="both"/>
      </w:pPr>
      <w:r>
        <w:rPr>
          <w:b/>
          <w:color w:val="0B0B0B"/>
        </w:rPr>
        <w:t>Такого быть не может.</w:t>
      </w:r>
      <w:r>
        <w:rPr>
          <w:color w:val="0B0B0B"/>
        </w:rPr>
        <w:t xml:space="preserve"> Граница ниже нуля означает, что нулевая стоимость риска — месяц, в котором Банк вообще не формировал провизий, — уже попадала бы в жёлтую зону, то есть «требовала бы корректирующих мер». Отсутствие кредитных потерь не может быть сигналом тревоги. Зона теряет смысл.</w:t>
      </w:r>
    </w:p>
    <w:p>
      <w:pPr>
        <w:jc w:val="both"/>
      </w:pPr>
      <w:r>
        <w:rPr>
          <w:b/>
          <w:color w:val="0B0B0B"/>
        </w:rPr>
        <w:t>Причина — не в уровне, а в том, как движется CoR.</w:t>
      </w:r>
      <w:r>
        <w:rPr>
          <w:color w:val="0B0B0B"/>
        </w:rPr>
        <w:t xml:space="preserve"> В феврале–марте, в месяцы годового закрытия, стоимость риска двигается в пять раз сильнее, чем в остальные месяцы. На эти два месяца приходится 81–82 % всей изменчивости показателя за год. Формула же берёт одно среднее число на весь год. Скачки февраля–марта раздувают его примерно вдвое: 1,28 пп против 0,60 пп в обычные месяцы.</w:t>
      </w:r>
    </w:p>
    <w:p>
      <w:pPr>
        <w:jc w:val="both"/>
      </w:pPr>
      <w:r>
        <w:rPr>
          <w:b/>
          <w:color w:val="0B0B0B"/>
        </w:rPr>
        <w:t>Стоимость риска по МСБ.</w:t>
      </w:r>
      <w:r>
        <w:rPr>
          <w:color w:val="0B0B0B"/>
        </w:rPr>
        <w:t xml:space="preserve"> Граница остаётся положительной (1,80), но сезон закрытия у неё тот же: волатильность февраля–марта выше в 4,86 раза. Формула завышает ход в обычные месяцы и занижает его в месяцы закрытия. Поэтому обе метрики CoR размечаются одинаково.</w:t>
      </w:r>
    </w:p>
    <w:p>
      <w:pPr>
        <w:pStyle w:val="Heading2"/>
      </w:pPr>
      <w:r>
        <w:t>2. Альтернатива — квантиль</w:t>
      </w:r>
    </w:p>
    <w:p>
      <w:pPr>
        <w:jc w:val="both"/>
      </w:pPr>
      <w:r>
        <w:rPr>
          <w:color w:val="0B0B0B"/>
        </w:rPr>
        <w:t>Лестница остаётся той же, что у топ-20, и та же вероятность 90 %: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Граница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Топ-20 и другие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CoR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зелёная / жёлтая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уровень − z·σ·√4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уровень − 90-й процентиль фактических изменений за 4 месяца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жёлтая / красная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уровень − z·σ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уровень − 90-й процентиль фактических изменений за 1 месяц</w:t>
            </w:r>
          </w:p>
        </w:tc>
      </w:tr>
    </w:tbl>
    <w:p/>
    <w:p>
      <w:pPr>
        <w:jc w:val="both"/>
      </w:pPr>
      <w:r>
        <w:rPr>
          <w:color w:val="0B0B0B"/>
        </w:rPr>
        <w:t>Меняется только одно число. Формула рассчитывает «ход с вероятностью 90 %» через нормальное распределение. Квантиль берёт его прямо из истории: это изменение, которое показатель не превышал в девяти случаях из десяти. Никаких предположений о форме распределения не нужно. Так устроена историческая симуляция — метод, который Базельский комитет допускает наравне с параметрическими моделями.</w:t>
      </w:r>
    </w:p>
    <w:p>
      <w:pPr>
        <w:pStyle w:val="Heading2"/>
      </w:pPr>
      <w:r>
        <w:t>3. Почему выборка по CoR — 29 точек</w:t>
      </w:r>
    </w:p>
    <w:p>
      <w:pPr>
        <w:pStyle w:val="ListBullet"/>
      </w:pPr>
      <w:r>
        <w:rPr>
          <w:color w:val="0B0B0B"/>
        </w:rPr>
        <w:t xml:space="preserve">За 36 месяцев окна (08.2023 — 07.2026) у показателя </w:t>
      </w:r>
      <w:r>
        <w:rPr>
          <w:b/>
          <w:color w:val="0B0B0B"/>
        </w:rPr>
        <w:t>35 месячных изменений</w:t>
      </w:r>
      <w:r>
        <w:rPr>
          <w:color w:val="0B0B0B"/>
        </w:rPr>
        <w:t>.</w:t>
      </w:r>
    </w:p>
    <w:p>
      <w:pPr>
        <w:pStyle w:val="ListBullet"/>
      </w:pPr>
      <w:r>
        <w:rPr>
          <w:b/>
          <w:color w:val="0B0B0B"/>
        </w:rPr>
        <w:t>Шесть</w:t>
      </w:r>
      <w:r>
        <w:rPr>
          <w:color w:val="0B0B0B"/>
        </w:rPr>
        <w:t xml:space="preserve"> из них приходятся на февраль и март 2024, 2025 и 2026 годов — окно годового</w:t>
      </w:r>
    </w:p>
    <w:p>
      <w:pPr>
        <w:jc w:val="both"/>
      </w:pPr>
      <w:r>
        <w:rPr>
          <w:color w:val="0B0B0B"/>
        </w:rPr>
        <w:t>закрытия.</w:t>
      </w:r>
    </w:p>
    <w:p>
      <w:pPr>
        <w:pStyle w:val="ListBullet"/>
      </w:pPr>
      <w:r>
        <w:rPr>
          <w:color w:val="0B0B0B"/>
        </w:rPr>
        <w:t xml:space="preserve">Эти шесть точек </w:t>
      </w:r>
      <w:r>
        <w:rPr>
          <w:b/>
          <w:color w:val="0B0B0B"/>
        </w:rPr>
        <w:t>исключаются</w:t>
      </w:r>
      <w:r>
        <w:rPr>
          <w:color w:val="0B0B0B"/>
        </w:rPr>
        <w:t>. Они описывают не обычное движение показателя,</w:t>
      </w:r>
    </w:p>
    <w:p>
      <w:pPr>
        <w:jc w:val="both"/>
      </w:pPr>
      <w:r>
        <w:rPr>
          <w:color w:val="0B0B0B"/>
        </w:rPr>
        <w:t>а ежегодную переоценку. По разбросу они отличаются от остальных в пять раз, и разница статистически значима (p &lt; 0,001). Если их оставить, они удваивают оценку хода на весь год — именно это и увело границу зелёной зоны ниже нуля.</w:t>
      </w:r>
    </w:p>
    <w:p>
      <w:pPr>
        <w:pStyle w:val="ListBullet"/>
      </w:pPr>
      <w:r>
        <w:rPr>
          <w:color w:val="0B0B0B"/>
        </w:rPr>
        <w:t xml:space="preserve">Остаётся </w:t>
      </w:r>
      <w:r>
        <w:rPr>
          <w:b/>
          <w:color w:val="0B0B0B"/>
        </w:rPr>
        <w:t>35 − 6 = 29 обычных месяцев</w:t>
      </w:r>
      <w:r>
        <w:rPr>
          <w:color w:val="0B0B0B"/>
        </w:rPr>
        <w:t>. По ним считается квантиль за один месяц.</w:t>
      </w:r>
    </w:p>
    <w:p>
      <w:pPr>
        <w:jc w:val="both"/>
      </w:pPr>
      <w:r>
        <w:rPr>
          <w:color w:val="0B0B0B"/>
        </w:rPr>
        <w:t>Для хода за четыре месяца берутся 17 четырёхмесячных окон, не задевающих февраль–март.</w:t>
      </w:r>
    </w:p>
    <w:p>
      <w:pPr>
        <w:jc w:val="both"/>
      </w:pPr>
      <w:r>
        <w:rPr>
          <w:b/>
          <w:color w:val="0B0B0B"/>
        </w:rPr>
        <w:t>Почему для февраля–марта не строится отдельная граница.</w:t>
      </w:r>
      <w:r>
        <w:rPr>
          <w:color w:val="0B0B0B"/>
        </w:rPr>
        <w:t xml:space="preserve"> Шести точек мало: 90-й процентиль из шести значений — это практически максимум выборки. Надёжной границы такая оценка не даёт.</w:t>
      </w:r>
    </w:p>
    <w:p>
      <w:pPr>
        <w:jc w:val="both"/>
      </w:pPr>
      <w:r>
        <w:rPr>
          <w:b/>
          <w:color w:val="0B0B0B"/>
        </w:rPr>
        <w:t>Что защищает в месяцы закрытия.</w:t>
      </w:r>
      <w:r>
        <w:rPr>
          <w:color w:val="0B0B0B"/>
        </w:rPr>
        <w:t xml:space="preserve"> Триггер на движение: его порог — тот же квантиль месячного изменения. За три года он поймал </w:t>
      </w:r>
      <w:r>
        <w:rPr>
          <w:b/>
          <w:color w:val="0B0B0B"/>
        </w:rPr>
        <w:t>все пять</w:t>
      </w:r>
      <w:r>
        <w:rPr>
          <w:color w:val="0B0B0B"/>
        </w:rPr>
        <w:t xml:space="preserve"> скачков стоимости риска вверх в окне закрытия: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Метрика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Скачок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Порог триггера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CoR КБ и ПБ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03.2024: +2,92; 02.2025: +1,35; 02.2026: +1,62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0,72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CoR МСБ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03.2024: +1,62; 02.2026: +1,46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0,37</w:t>
            </w:r>
          </w:p>
        </w:tc>
      </w:tr>
    </w:tbl>
    <w:p/>
    <w:p>
      <w:pPr>
        <w:jc w:val="both"/>
      </w:pPr>
      <w:r>
        <w:rPr>
          <w:color w:val="0B0B0B"/>
        </w:rPr>
        <w:t>Движения вниз в эти месяцы — роспуск провизий, для Банка благоприятный.</w:t>
      </w:r>
    </w:p>
    <w:p>
      <w:pPr>
        <w:jc w:val="both"/>
      </w:pPr>
      <w:r>
        <w:rPr>
          <w:b/>
          <w:color w:val="0B0B0B"/>
        </w:rPr>
        <w:t>Проверка, что результат не зависит от выбора формулы.</w:t>
      </w:r>
      <w:r>
        <w:rPr>
          <w:color w:val="0B0B0B"/>
        </w:rPr>
        <w:t xml:space="preserve"> Если на тех же 29 точках посчитать границу обычной формулой, получится почти то же: 1,46 вместо 1,57 по КБ и ПБ, 2,69 вместо 2,49 по МСБ. Без месяцев закрытия изменения CoR проходят все три теста на нормальность. Значит, решает исключение сезона закрытия, а не выбор между формулой и квантилем. Квантиль выбран потому, что не требует никаких предположений о форме распределения.</w:t>
      </w:r>
    </w:p>
    <w:p>
      <w:pPr>
        <w:jc w:val="both"/>
      </w:pPr>
      <w:r>
        <w:rPr>
          <w:b/>
          <w:color w:val="0B0B0B"/>
        </w:rPr>
        <w:t>Результат по CoR: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color w:val="0B0B0B"/>
              </w:rPr>
              <w:t>Метрика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Уровень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Ход за 1 мес.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Ход за 4 мес.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Граница зелёной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Граница красной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Факт на 01.07.2026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Зона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CoR КБ и ПБ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3,00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0,72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1,43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1,57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2,28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−0,35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CoR МСБ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3,50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0,37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1,01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2,49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3,13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0,26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</w:tr>
    </w:tbl>
    <w:p/>
    <w:p>
      <w:pPr>
        <w:jc w:val="both"/>
      </w:pPr>
      <w:r>
        <w:rPr>
          <w:color w:val="0B0B0B"/>
        </w:rPr>
        <w:t>Факт — по форме 50. Последняя точка месячного ряда — −0,27 и +0,27; зона та же.</w:t>
      </w:r>
    </w:p>
    <w:p>
      <w:pPr>
        <w:jc w:val="both"/>
      </w:pPr>
      <w:r>
        <w:rPr>
          <w:color w:val="0B0B0B"/>
        </w:rPr>
        <w:t>За 36 месяцев стоимость риска по КБ и ПБ выходила из зелёной зоны дважды — в 08 и 09.2023, в жёлтую. По МСБ показатель всё время был в зелёной. При этом в 2026 году МСБ впервые за окно перешёл от роспуска провизий к чистому начислению: все шесть положительных значений идут подряд с февраля по июль 2026 года. Скачок февраля 2026 года поймал триггер.</w:t>
      </w:r>
    </w:p>
    <w:p>
      <w:pPr>
        <w:pStyle w:val="Heading2"/>
      </w:pPr>
      <w:r>
        <w:t>4. Остальные показатели: какой метод и почему</w:t>
      </w:r>
    </w:p>
    <w:p>
      <w:pPr>
        <w:jc w:val="both"/>
      </w:pPr>
      <w:r>
        <w:rPr>
          <w:color w:val="0B0B0B"/>
        </w:rPr>
        <w:t>Основной метод — формула запаса времени, согласованная для топ-20. Квантиль применяется только там, где формула даёт неверный результат. Так метод не подбирается под показатель, а следует из одного правила.</w:t>
      </w:r>
    </w:p>
    <w:p>
      <w:pPr>
        <w:jc w:val="both"/>
      </w:pPr>
      <w:r>
        <w:rPr>
          <w:b/>
          <w:color w:val="0B0B0B"/>
        </w:rPr>
        <w:t>Формула применима к десяти показателям</w:t>
      </w:r>
      <w:r>
        <w:rPr>
          <w:color w:val="0B0B0B"/>
        </w:rPr>
        <w:t xml:space="preserve"> — топ-20, пяти PD и четырём EL по розничному бизнесу. Причин три:</w:t>
      </w:r>
    </w:p>
    <w:p>
      <w:pPr>
        <w:pStyle w:val="ListNumber"/>
      </w:pPr>
      <w:r>
        <w:rPr>
          <w:b/>
          <w:color w:val="0B0B0B"/>
        </w:rPr>
        <w:t>У них нет сезона закрытия.</w:t>
      </w:r>
      <w:r>
        <w:rPr>
          <w:color w:val="0B0B0B"/>
        </w:rPr>
        <w:t xml:space="preserve"> В феврале–марте они двигаются не сильнее, чем в другие</w:t>
      </w:r>
    </w:p>
    <w:p>
      <w:pPr>
        <w:jc w:val="both"/>
      </w:pPr>
      <w:r>
        <w:rPr>
          <w:color w:val="0B0B0B"/>
        </w:rPr>
        <w:t>месяцы. Разброс в эти месяцы больше не более чем в 1,76 раза, а у восьми из десяти даже меньше. Исключать нечего, поэтому берутся все 35 точек.</w:t>
      </w:r>
    </w:p>
    <w:p>
      <w:pPr>
        <w:pStyle w:val="ListNumber"/>
      </w:pPr>
      <w:r>
        <w:rPr>
          <w:b/>
          <w:color w:val="0B0B0B"/>
        </w:rPr>
        <w:t>Граница зелёной зоны далеко от нуля.</w:t>
      </w:r>
      <w:r>
        <w:rPr>
          <w:color w:val="0B0B0B"/>
        </w:rPr>
        <w:t xml:space="preserve"> Буфер мал по сравнению с уровнем: у топ-20 —</w:t>
      </w:r>
    </w:p>
    <w:p>
      <w:pPr>
        <w:jc w:val="both"/>
      </w:pPr>
      <w:r>
        <w:rPr>
          <w:color w:val="0B0B0B"/>
        </w:rPr>
        <w:t>10,4 при уровне 108,6; у розничных — 0,13–0,37 пп при уровнях 7–15 %.</w:t>
      </w:r>
    </w:p>
    <w:p>
      <w:pPr>
        <w:pStyle w:val="ListNumber"/>
      </w:pPr>
      <w:r>
        <w:rPr>
          <w:b/>
          <w:color w:val="0B0B0B"/>
        </w:rPr>
        <w:t>Формула не недооценивает реальные движения.</w:t>
      </w:r>
      <w:r>
        <w:rPr>
          <w:color w:val="0B0B0B"/>
        </w:rPr>
        <w:t xml:space="preserve"> Буфер формулы сверен с фактическими</w:t>
      </w:r>
    </w:p>
    <w:p>
      <w:pPr>
        <w:jc w:val="both"/>
      </w:pPr>
      <w:r>
        <w:rPr>
          <w:color w:val="0B0B0B"/>
        </w:rPr>
        <w:t>движениями в девяти случаях из десяти. Ни у одного показателя он не оказался заметно уже. Например, у топ-20 формула даёт 5,21 за месяц, а в истории было 5,27.</w:t>
      </w:r>
    </w:p>
    <w:p>
      <w:pPr>
        <w:jc w:val="both"/>
      </w:pPr>
      <w:r>
        <w:rPr>
          <w:b/>
          <w:color w:val="0B0B0B"/>
        </w:rPr>
        <w:t>Про нормальность.</w:t>
      </w:r>
      <w:r>
        <w:rPr>
          <w:color w:val="0B0B0B"/>
        </w:rPr>
        <w:t xml:space="preserve"> Формально нормальны три показателя из двенадцати. Это не мешает: формула работает с суммой движений за несколько месяцев, а такая сумма ближе к нормальному распределению, чем движение одного месяца (центральная предельная теорема). На четырёх месяцах это не гарантия, поэтому результат проверен по фактическим данным — пункт 3.</w:t>
      </w:r>
    </w:p>
    <w:p>
      <w:pPr>
        <w:jc w:val="both"/>
      </w:pPr>
      <w:r>
        <w:rPr>
          <w:b/>
          <w:color w:val="0B0B0B"/>
        </w:rPr>
        <w:t>Результат по девяти розничным.</w:t>
      </w:r>
      <w:r>
        <w:rPr>
          <w:color w:val="0B0B0B"/>
        </w:rPr>
        <w:t xml:space="preserve"> Все в зелёной зоне, уровни использованы на 23–76 %. Динамику контролируют триггеры: за 32 месяца они 29 раз поднимали уровень реакции выше R0, хотя все девять показателей оставались в зелёной зоне.</w:t>
      </w:r>
    </w:p>
    <w:p>
      <w:pPr>
        <w:pStyle w:val="Heading2"/>
      </w:pPr>
      <w:r>
        <w:t>5. Итог по двенадцати показателям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color w:val="0B0B0B"/>
              </w:rPr>
              <w:t>Показатель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Метод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Выборка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Граница зелёной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Граница красной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Уровень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Факт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Зона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Топ-20 / СК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98,21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103,42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108,63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101,50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жёлтая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CoR — КБ и ПБ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квантиль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29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1,57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2,28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3,00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−0,35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CoR — МСБ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квантиль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29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2,49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3,13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3,50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0,26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EL — общий портфель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8,79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8,90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9,00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2,76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EL — необеспеченный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9,68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9,84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10,00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7,57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EL — обеспеченный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6,87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6,93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7,00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1,64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EL — прочий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9,78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9,89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10,00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2,47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необеспеченные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14,68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14,84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15,00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10,96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необеспеченные денежные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14,63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14,81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15,00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11,05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необеспеченные товарные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14,74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14,87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15,00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10,59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обеспеченные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6,74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6,87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7,00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5,01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прочие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13,73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13,87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14,00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3,65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зелёная</w:t>
            </w:r>
          </w:p>
        </w:tc>
      </w:tr>
    </w:tbl>
    <w:p/>
    <w:p>
      <w:pPr>
        <w:jc w:val="both"/>
      </w:pPr>
      <w:r>
        <w:rPr>
          <w:color w:val="0B0B0B"/>
        </w:rPr>
        <w:t>*Выборка* — число месячных изменений, по которым оценён ход показателя.</w:t>
      </w:r>
    </w:p>
    <w:p>
      <w:pPr>
        <w:pStyle w:val="Heading2"/>
      </w:pPr>
      <w:r>
        <w:t>6. Оговорки</w:t>
      </w:r>
    </w:p>
    <w:p>
      <w:pPr>
        <w:pStyle w:val="ListBullet"/>
      </w:pPr>
      <w:r>
        <w:rPr>
          <w:b/>
          <w:color w:val="0B0B0B"/>
        </w:rPr>
        <w:t>Разметка обеих метрик CoR предварительна.</w:t>
      </w:r>
      <w:r>
        <w:rPr>
          <w:color w:val="0B0B0B"/>
        </w:rPr>
        <w:t xml:space="preserve"> В форме 50 стоимость риска стоит</w:t>
      </w:r>
    </w:p>
    <w:p>
      <w:pPr>
        <w:jc w:val="both"/>
      </w:pPr>
      <w:r>
        <w:rPr>
          <w:color w:val="0B0B0B"/>
        </w:rPr>
        <w:t>вписанными значениями, без формулы расчёта, в отличие от EL и PD. После подтверждения формулы границы пересчитываются тем же способом. Остальные десять показателей от этого не зависят.</w:t>
      </w:r>
    </w:p>
    <w:p>
      <w:pPr>
        <w:pStyle w:val="ListBullet"/>
      </w:pPr>
      <w:r>
        <w:rPr>
          <w:b/>
          <w:color w:val="0B0B0B"/>
        </w:rPr>
        <w:t>Причина сезона закрытия у владельца расчёта не подтверждена.</w:t>
      </w:r>
      <w:r>
        <w:rPr>
          <w:color w:val="0B0B0B"/>
        </w:rPr>
        <w:t xml:space="preserve"> Исключение шести</w:t>
      </w:r>
    </w:p>
    <w:p>
      <w:pPr>
        <w:jc w:val="both"/>
      </w:pPr>
      <w:r>
        <w:rPr>
          <w:color w:val="0B0B0B"/>
        </w:rPr>
        <w:t>точек опирается на то, что видно в данных, а не на объяснение причины.</w:t>
      </w:r>
    </w:p>
    <w:p>
      <w:pPr>
        <w:pStyle w:val="ListBullet"/>
      </w:pPr>
      <w:r>
        <w:rPr>
          <w:b/>
          <w:color w:val="0B0B0B"/>
        </w:rPr>
        <w:t>Перекалибровка — ежегодно</w:t>
      </w:r>
      <w:r>
        <w:rPr>
          <w:color w:val="0B0B0B"/>
        </w:rPr>
        <w:t>, на обновлённом 36-месячном окне. Каждый год заново</w:t>
      </w:r>
    </w:p>
    <w:p>
      <w:pPr>
        <w:jc w:val="both"/>
      </w:pPr>
      <w:r>
        <w:rPr>
          <w:color w:val="0B0B0B"/>
        </w:rPr>
        <w:t>проверяется, к каким показателям применима формула: закреплено правило, а не список.</w:t>
      </w:r>
    </w:p>
    <w:p>
      <w:pPr>
        <w:pStyle w:val="Heading2"/>
      </w:pPr>
      <w:r>
        <w:t>Приложение. Проверка по данным</w:t>
      </w:r>
    </w:p>
    <w:p>
      <w:pPr>
        <w:jc w:val="both"/>
      </w:pPr>
      <w:r>
        <w:rPr>
          <w:color w:val="0B0B0B"/>
        </w:rPr>
        <w:t>Для каждого показателя проверены три условия применимости формулы. Условие 1 — граница зелёной зоны выше нуля. Условие 2 — нет сезона закрытия. Условие 3 — формула не уже фактических движений.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color w:val="0B0B0B"/>
              </w:rPr>
              <w:t>Показатель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1: граница зелёной по формуле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2: разброс фев–мар / прочих месяцев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2: доля фев–мар в изменчивости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2: p (тест Левене)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3: формула против факта, 1 мес.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3: то же, 4 мес.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Метод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Топ-20 / СК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98,21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0,66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19 %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0,35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−1 %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+21 %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EL — общий портфель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8,79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0,62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7 %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0,55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+148 %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+128 %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EL — необеспеченный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9,68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0,63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7 %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0,34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−7 %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+28 %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EL — обеспеченный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6,87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0,68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8 %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0,28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−13 %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−14 %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EL — прочий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9,78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0,85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12 %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0,59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+92 %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+119 %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необеспеченные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14,68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0,61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8 %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0,42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+36 %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+83 %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необеспеченные денежные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14,63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0,58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6 %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0,35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+54 %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+68 %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необеспеченные товарные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14,74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1,76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41 %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0,08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+50 %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+524 %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обеспеченные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6,74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0,21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0,12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+49 %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−19 %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color w:val="0B0B0B"/>
              </w:rPr>
              <w:t>PD — прочие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13,73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1,30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23 %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0,46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+118 %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+92 %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запас времени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0B0B0B"/>
              </w:rPr>
              <w:t>CoR — КБ и ПБ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−0,29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5,04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82 %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0,0004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квантиль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color w:val="0B0B0B"/>
              </w:rPr>
              <w:t>CoR — МСБ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1,80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4,86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81 %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&lt; 0,0001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color w:val="0B0B0B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b/>
                <w:color w:val="0B0B0B"/>
              </w:rPr>
              <w:t>квантиль</w:t>
            </w:r>
          </w:p>
        </w:tc>
      </w:tr>
    </w:tbl>
    <w:p/>
    <w:p>
      <w:pPr>
        <w:jc w:val="both"/>
      </w:pPr>
      <w:r>
        <w:rPr>
          <w:b/>
          <w:color w:val="0B0B0B"/>
        </w:rPr>
        <w:t>Как читать.</w:t>
      </w:r>
    </w:p>
    <w:p>
      <w:pPr>
        <w:pStyle w:val="ListBullet"/>
      </w:pPr>
      <w:r>
        <w:rPr>
          <w:color w:val="0B0B0B"/>
        </w:rPr>
        <w:t>*Доля фев–мар* — какая часть изменчивости месячных изменений приходится на шесть</w:t>
      </w:r>
    </w:p>
    <w:p>
      <w:pPr>
        <w:jc w:val="both"/>
      </w:pPr>
      <w:r>
        <w:rPr>
          <w:color w:val="0B0B0B"/>
        </w:rPr>
        <w:t>изменений февраля–марта из 35. При равномерном движении было бы около 17 %.</w:t>
      </w:r>
    </w:p>
    <w:p>
      <w:pPr>
        <w:pStyle w:val="ListBullet"/>
      </w:pPr>
      <w:r>
        <w:rPr>
          <w:color w:val="0B0B0B"/>
        </w:rPr>
        <w:t>*Условие 3* — насколько буфер формулы шире (+) или уже (−) фактического 90-го процентиля.</w:t>
      </w:r>
    </w:p>
    <w:p>
      <w:pPr>
        <w:jc w:val="both"/>
      </w:pPr>
      <w:r>
        <w:rPr>
          <w:b/>
          <w:color w:val="0B0B0B"/>
        </w:rPr>
        <w:t>Пороги.</w:t>
      </w:r>
    </w:p>
    <w:p>
      <w:pPr>
        <w:pStyle w:val="ListBullet"/>
      </w:pPr>
      <w:r>
        <w:rPr>
          <w:color w:val="0B0B0B"/>
        </w:rPr>
        <w:t>*Условие 2* — тест Левене, уровень 5 %. Выбран потому, что обычный F-тест неустойчив</w:t>
      </w:r>
    </w:p>
    <w:p>
      <w:pPr>
        <w:jc w:val="both"/>
      </w:pPr>
      <w:r>
        <w:rPr>
          <w:color w:val="0B0B0B"/>
        </w:rPr>
        <w:t>к ненормальности, а приращения девяти показателей из двенадцати ненормальны. По F-тесту к двум CoR добавились бы PD товарные (p = 0,049) и PD обеспеченные (p = 0,003). У PD обеспеченных отклонение обратное: в феврале–марте показатель в пять раз спокойнее. По обоим условие 3 выполнено.</w:t>
      </w:r>
    </w:p>
    <w:p>
      <w:pPr>
        <w:pStyle w:val="ListBullet"/>
      </w:pPr>
      <w:r>
        <w:rPr>
          <w:color w:val="0B0B0B"/>
        </w:rPr>
        <w:t>*Условие 3* — допуск 25 %: две стандартные ошибки оценки σ на 35 изменениях.</w:t>
      </w:r>
    </w:p>
    <w:p>
      <w:pPr>
        <w:jc w:val="both"/>
      </w:pPr>
      <w:r>
        <w:rPr>
          <w:color w:val="0B0B0B"/>
        </w:rPr>
        <w:t>Ближе всех к порогу PD обеспеченные: −19 % на горизонте четырёх месяцев.</w:t>
      </w:r>
    </w:p>
    <w:p>
      <w:pPr>
        <w:pStyle w:val="ListBullet"/>
      </w:pPr>
      <w:r>
        <w:rPr>
          <w:color w:val="0B0B0B"/>
        </w:rPr>
        <w:t>*Центральная предельная теорема* на горизонте четырёх месяцев даёт погрешность</w:t>
      </w:r>
    </w:p>
    <w:p>
      <w:pPr>
        <w:jc w:val="both"/>
      </w:pPr>
      <w:r>
        <w:rPr>
          <w:color w:val="0B0B0B"/>
        </w:rPr>
        <w:t>до ±46 пп (неравенство Берри-Эссеена). Поэтому она объясняет, почему формула работает, но решает проверка по данным — условие 3.</w:t>
      </w:r>
    </w:p>
    <w:p>
      <w:pPr>
        <w:jc w:val="both"/>
      </w:pPr>
      <w:r>
        <w:rPr>
          <w:b/>
          <w:color w:val="0B0B0B"/>
        </w:rPr>
        <w:t>Где проверить.</w:t>
      </w:r>
      <w:r>
        <w:rPr>
          <w:color w:val="0B0B0B"/>
        </w:rPr>
        <w:t xml:space="preserve"> Все числа воспроизводятся прогоном </w:t>
      </w:r>
      <w:r>
        <w:rPr>
          <w:rFonts w:ascii="Consolas" w:hAnsi="Consolas"/>
          <w:color w:val="0B0B0B"/>
          <w:sz w:val="19"/>
        </w:rPr>
        <w:t>calib/method_selection.py</w:t>
      </w:r>
      <w:r>
        <w:rPr>
          <w:color w:val="0B0B0B"/>
        </w:rPr>
        <w:t xml:space="preserve"> (самопроверка — 15 проверок). Границы CoR совпадают с листом «Метрики» расчётной книги v1.8. Формальные тесты нормальности — </w:t>
      </w:r>
      <w:r>
        <w:rPr>
          <w:rFonts w:ascii="Consolas" w:hAnsi="Consolas"/>
          <w:color w:val="0B0B0B"/>
          <w:sz w:val="19"/>
        </w:rPr>
        <w:t>calib/normality_triage.py</w:t>
      </w:r>
      <w:r>
        <w:rPr>
          <w:color w:val="0B0B0B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