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Разбор аналитической записки v1.1</w:t>
      </w:r>
    </w:p>
    <w:p>
      <w:pPr>
        <w:jc w:val="both"/>
      </w:pPr>
      <w:r>
        <w:rPr>
          <w:color w:val="0B0B0B"/>
        </w:rPr>
        <w:t>21.09.2026. Проверена записка «по результатам оценки актуальности действующих уровней риск-аппетита по кредитному риску», версия 1.1, десять страниц. Сам документ помечен «ВНУТРЕННЯЯ ИНФОРМАЦИЯ» и в репозиторий не выкладывается (§ 2); здесь только результат проверки.</w:t>
      </w:r>
    </w:p>
    <w:p>
      <w:pPr>
        <w:jc w:val="both"/>
      </w:pPr>
      <w:r>
        <w:rPr>
          <w:b/>
          <w:color w:val="0B0B0B"/>
        </w:rPr>
        <w:t>Итог.</w:t>
      </w:r>
      <w:r>
        <w:rPr>
          <w:color w:val="0B0B0B"/>
        </w:rPr>
        <w:t xml:space="preserve"> Записка готова к согласованию после одной содержательной правки и пяти мелких. Все числа сошлись. Структура сторилайна выдержана, все три обязательных самовозражения на месте, находок вне периметра БРМ нет.</w:t>
      </w:r>
    </w:p>
    <w:p>
      <w:pPr>
        <w:pStyle w:val="Heading2"/>
      </w:pPr>
      <w:r>
        <w:t>1. Что проверено и сошлось</w:t>
      </w:r>
    </w:p>
    <w:p>
      <w:pPr>
        <w:jc w:val="both"/>
      </w:pPr>
      <w:r>
        <w:rPr>
          <w:b/>
          <w:color w:val="0B0B0B"/>
        </w:rPr>
        <w:t>Таблица 1 — двенадцать показателей.</w:t>
      </w:r>
      <w:r>
        <w:rPr>
          <w:color w:val="0B0B0B"/>
        </w:rPr>
        <w:t xml:space="preserve"> Каждое фактическое значение сверено с формой 50 на 01.07.2026: ТОП-20 101,50 %, CoR КБ −0,35 %, CoR МСБ 0,26 %, EL 2,76 / 7,57 / 1,64 / 2,47 %, PD 10,96 / 11,05 / 10,59 / 5,01 / 3,65 %. </w:t>
      </w:r>
      <w:r>
        <w:rPr>
          <w:b/>
          <w:color w:val="0B0B0B"/>
        </w:rPr>
        <w:t>Расхождений нет.</w:t>
      </w:r>
      <w:r>
        <w:rPr>
          <w:color w:val="0B0B0B"/>
        </w:rPr>
        <w:t xml:space="preserve"> Все значения графы «Запас» арифметически верны.</w:t>
      </w:r>
    </w:p>
    <w:p>
      <w:pPr>
        <w:jc w:val="both"/>
      </w:pPr>
      <w:r>
        <w:rPr>
          <w:b/>
          <w:color w:val="0B0B0B"/>
        </w:rPr>
        <w:t>Ключевые числа конструкции.</w:t>
      </w:r>
      <w:r>
        <w:rPr>
          <w:color w:val="0B0B0B"/>
        </w:rPr>
        <w:t xml:space="preserve"> Отношение баз 0,874525; 95 / 0,874525 = 108,63 %; границы зон 98,21 / 103,42 / 108,63 %; январь 2026 — с 86,15 % до 95,85 % при падении капитала на 7,92 %; январь 2024 — 105,90 % против границы 103,42 %. </w:t>
      </w:r>
      <w:r>
        <w:rPr>
          <w:b/>
          <w:color w:val="0B0B0B"/>
        </w:rPr>
        <w:t>Всё воспроизводится.</w:t>
      </w:r>
    </w:p>
    <w:p>
      <w:pPr>
        <w:jc w:val="both"/>
      </w:pPr>
      <w:r>
        <w:rPr>
          <w:b/>
          <w:color w:val="0B0B0B"/>
        </w:rPr>
        <w:t>Таблица 5 — историческая проверка.</w:t>
      </w:r>
      <w:r>
        <w:rPr>
          <w:color w:val="0B0B0B"/>
        </w:rPr>
        <w:t xml:space="preserve"> R0 282 (88,1 %), R1 30 (9,4 %), R2 7 (2,2 %), R3 1 (0,3 %), R4 0; 10 показателей × 32 месяца = 320 наблюдений. </w:t>
      </w:r>
      <w:r>
        <w:rPr>
          <w:b/>
          <w:color w:val="0B0B0B"/>
        </w:rPr>
        <w:t>Совпадает с прогоном `calib/trigger_audit.py` до последней цифры.</w:t>
      </w:r>
    </w:p>
    <w:p>
      <w:pPr>
        <w:jc w:val="both"/>
      </w:pPr>
      <w:r>
        <w:rPr>
          <w:b/>
          <w:color w:val="0B0B0B"/>
        </w:rPr>
        <w:t>Структура портфеля.</w:t>
      </w:r>
      <w:r>
        <w:rPr>
          <w:color w:val="0B0B0B"/>
        </w:rPr>
        <w:t xml:space="preserve"> КБ ~98 % приемлемых, МСБ ~76 % — сходится с формой (98,01 и 75,64 %).</w:t>
      </w:r>
    </w:p>
    <w:p>
      <w:pPr>
        <w:jc w:val="both"/>
      </w:pPr>
      <w:r>
        <w:rPr>
          <w:b/>
          <w:color w:val="0B0B0B"/>
        </w:rPr>
        <w:t>Самовозражения на месте, все три:</w:t>
      </w:r>
    </w:p>
    <w:p>
      <w:pPr>
        <w:pStyle w:val="ListBullet"/>
      </w:pPr>
      <w:r>
        <w:rPr>
          <w:color w:val="0B0B0B"/>
        </w:rPr>
        <w:t>§ 6 — выбор якорной даты не подгонялся под результат, выносятся обе картины;</w:t>
      </w:r>
    </w:p>
    <w:p>
      <w:pPr>
        <w:pStyle w:val="ListBullet"/>
      </w:pPr>
      <w:r>
        <w:rPr>
          <w:color w:val="0B0B0B"/>
        </w:rPr>
        <w:t xml:space="preserve">§ 7 и § 9 — система </w:t>
      </w:r>
      <w:r>
        <w:rPr>
          <w:b/>
          <w:color w:val="0B0B0B"/>
        </w:rPr>
        <w:t>не является гарантией полного контроля</w:t>
      </w:r>
      <w:r>
        <w:rPr>
          <w:color w:val="0B0B0B"/>
        </w:rPr>
        <w:t xml:space="preserve"> показателя, потому что</w:t>
      </w:r>
    </w:p>
    <w:p>
      <w:pPr>
        <w:jc w:val="both"/>
      </w:pPr>
      <w:r>
        <w:rPr>
          <w:color w:val="0B0B0B"/>
        </w:rPr>
        <w:t>переопределение числителя или знаменателя не ловится ни зоной, ни триггером;</w:t>
      </w:r>
    </w:p>
    <w:p>
      <w:pPr>
        <w:pStyle w:val="ListBullet"/>
      </w:pPr>
      <w:r>
        <w:rPr>
          <w:color w:val="0B0B0B"/>
        </w:rPr>
        <w:t>§ 10 — ЦПТ на горизонте из четырёх наблюдений **не является самостоятельным</w:t>
      </w:r>
    </w:p>
    <w:p>
      <w:pPr>
        <w:jc w:val="both"/>
      </w:pPr>
      <w:r>
        <w:rPr>
          <w:color w:val="0B0B0B"/>
        </w:rPr>
        <w:t>доказательством**;</w:t>
      </w:r>
    </w:p>
    <w:p>
      <w:pPr>
        <w:pStyle w:val="ListBullet"/>
      </w:pPr>
      <w:r>
        <w:rPr>
          <w:color w:val="0B0B0B"/>
        </w:rPr>
        <w:t>§ 12 — один эпизод R3 не подтверждает оптимальность порога.</w:t>
      </w:r>
    </w:p>
    <w:p>
      <w:pPr>
        <w:jc w:val="both"/>
      </w:pPr>
      <w:r>
        <w:rPr>
          <w:color w:val="0B0B0B"/>
        </w:rPr>
        <w:t>Четвёртое возражение есть сверх плана и это хорошо.</w:t>
      </w:r>
    </w:p>
    <w:p>
      <w:pPr>
        <w:jc w:val="both"/>
      </w:pPr>
      <w:r>
        <w:rPr>
          <w:b/>
          <w:color w:val="0B0B0B"/>
        </w:rPr>
        <w:t>Периметр соблюдён.</w:t>
      </w:r>
      <w:r>
        <w:rPr>
          <w:color w:val="0B0B0B"/>
        </w:rPr>
        <w:t xml:space="preserve"> Находок по ACARI, ALRI, k1, k1-2, HLA в записке нет — как и договаривались.</w:t>
      </w:r>
    </w:p>
    <w:p>
      <w:pPr>
        <w:pStyle w:val="Heading2"/>
      </w:pPr>
      <w:r>
        <w:t>2. Одна содержательная правка — и она моя</w:t>
      </w:r>
    </w:p>
    <w:p>
      <w:pPr>
        <w:pStyle w:val="Heading3"/>
      </w:pPr>
      <w:r>
        <w:t>Что не так</w:t>
      </w:r>
    </w:p>
    <w:p>
      <w:pPr>
        <w:jc w:val="both"/>
      </w:pPr>
      <w:r>
        <w:rPr>
          <w:b/>
          <w:color w:val="0B0B0B"/>
        </w:rPr>
        <w:t>§ 5.1 и Таблица 4 говорят разное.</w:t>
      </w:r>
    </w:p>
    <w:p>
      <w:pPr>
        <w:pStyle w:val="ListBullet"/>
      </w:pPr>
      <w:r>
        <w:rPr>
          <w:color w:val="0B0B0B"/>
        </w:rPr>
        <w:t xml:space="preserve">§ 5.1: «произошла смена </w:t>
      </w:r>
      <w:r>
        <w:rPr>
          <w:b/>
          <w:color w:val="0B0B0B"/>
        </w:rPr>
        <w:t>определения балансового</w:t>
      </w:r>
      <w:r>
        <w:rPr>
          <w:color w:val="0B0B0B"/>
        </w:rPr>
        <w:t xml:space="preserve"> собственного капитала».</w:t>
      </w:r>
    </w:p>
    <w:p>
      <w:pPr>
        <w:pStyle w:val="ListBullet"/>
      </w:pPr>
      <w:r>
        <w:rPr>
          <w:color w:val="0B0B0B"/>
        </w:rPr>
        <w:t>Таблица 4: старая колонка подписана «</w:t>
      </w:r>
      <w:r>
        <w:rPr>
          <w:b/>
          <w:color w:val="0B0B0B"/>
        </w:rPr>
        <w:t>СК регуляторный</w:t>
      </w:r>
      <w:r>
        <w:rPr>
          <w:color w:val="0B0B0B"/>
        </w:rPr>
        <w:t>», новая — «СК балансовый».</w:t>
      </w:r>
    </w:p>
    <w:p>
      <w:pPr>
        <w:jc w:val="both"/>
      </w:pPr>
      <w:r>
        <w:rPr>
          <w:color w:val="0B0B0B"/>
        </w:rPr>
        <w:t>Это два разных утверждения: в первом одна величина переопределена, во втором показатель переведён с одной величины на другую.</w:t>
      </w:r>
    </w:p>
    <w:p>
      <w:pPr>
        <w:pStyle w:val="Heading3"/>
      </w:pPr>
      <w:r>
        <w:t>Что говорят данные</w:t>
      </w:r>
    </w:p>
    <w:p>
      <w:pPr>
        <w:jc w:val="both"/>
      </w:pPr>
      <w:r>
        <w:rPr>
          <w:color w:val="0B0B0B"/>
        </w:rPr>
        <w:t xml:space="preserve">Обе базы посчитаны </w:t>
      </w:r>
      <w:r>
        <w:rPr>
          <w:b/>
          <w:color w:val="0B0B0B"/>
        </w:rPr>
        <w:t>параллельно 30 месяцев подряд</w:t>
      </w:r>
      <w:r>
        <w:rPr>
          <w:color w:val="0B0B0B"/>
        </w:rPr>
        <w:t xml:space="preserve"> (08.2023 — 01.2026), и отношение новой к прежней </w:t>
      </w:r>
      <w:r>
        <w:rPr>
          <w:b/>
          <w:color w:val="0B0B0B"/>
        </w:rPr>
        <w:t>не постоянно</w:t>
      </w:r>
      <w:r>
        <w:rPr>
          <w:color w:val="0B0B0B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0B0B"/>
              </w:rPr>
              <w:t>Месяц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Прежняя база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Новая база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Отношение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08.2023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413 937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322 505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0,7791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08.2024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504 710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417 860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0,8279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08.2025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541 722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460 261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0,8496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01.2026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503 086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439 961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0,8745</w:t>
            </w:r>
          </w:p>
        </w:tc>
      </w:tr>
    </w:tbl>
    <w:p/>
    <w:p>
      <w:pPr>
        <w:jc w:val="both"/>
      </w:pPr>
      <w:r>
        <w:rPr>
          <w:color w:val="0B0B0B"/>
        </w:rPr>
        <w:t xml:space="preserve">Размах — </w:t>
      </w:r>
      <w:r>
        <w:rPr>
          <w:b/>
          <w:color w:val="0B0B0B"/>
        </w:rPr>
        <w:t>9,5 процентных пункта</w:t>
      </w:r>
      <w:r>
        <w:rPr>
          <w:color w:val="0B0B0B"/>
        </w:rPr>
        <w:t xml:space="preserve">, движение монотонное. Переопределение одной величины не даёт двух параллельных рядов за 30 месяцев с расходящимся отношением. </w:t>
      </w:r>
      <w:r>
        <w:rPr>
          <w:b/>
          <w:color w:val="0B0B0B"/>
        </w:rPr>
        <w:t>Права Таблица 4: это две разные величины, и показатель переведён с одной на другую.</w:t>
      </w:r>
      <w:r>
        <w:rPr>
          <w:color w:val="0B0B0B"/>
        </w:rPr>
        <w:t xml:space="preserve"> Формулировку § 5.1 надо исправить.</w:t>
      </w:r>
    </w:p>
    <w:p>
      <w:pPr>
        <w:pStyle w:val="Heading3"/>
      </w:pPr>
      <w:r>
        <w:t>Почему это важнее, чем кажется</w:t>
      </w:r>
    </w:p>
    <w:p>
      <w:pPr>
        <w:jc w:val="both"/>
      </w:pPr>
      <w:r>
        <w:rPr>
          <w:color w:val="0B0B0B"/>
        </w:rPr>
        <w:t>На этом стоит центральный аргумент § 6 и вывода 6:</w:t>
      </w:r>
    </w:p>
    <w:p>
      <w:pPr>
        <w:ind w:left="480"/>
      </w:pPr>
      <w:r>
        <w:rPr>
          <w:i/>
          <w:color w:val="5A5A5A"/>
        </w:rPr>
        <w:t>«одна и та же величина риска выражается в двух системах измерения»,</w:t>
      </w:r>
    </w:p>
    <w:p>
      <w:pPr>
        <w:ind w:left="480"/>
      </w:pPr>
      <w:r>
        <w:rPr>
          <w:i/>
          <w:color w:val="5A5A5A"/>
        </w:rPr>
        <w:t>«математически сопоставимое выражение действующего уровня»</w:t>
      </w:r>
    </w:p>
    <w:p>
      <w:pPr>
        <w:jc w:val="both"/>
      </w:pPr>
      <w:r>
        <w:rPr>
          <w:b/>
          <w:color w:val="0B0B0B"/>
        </w:rPr>
        <w:t>Этот аргумент не держится.</w:t>
      </w:r>
      <w:r>
        <w:rPr>
          <w:color w:val="0B0B0B"/>
        </w:rPr>
        <w:t xml:space="preserve"> У перевода единиц отношение постоянно: в километрах и милях оно одно и то же всегда. Здесь оно сдвинулось на 9,5 пп за 30 месяцев и продолжает двигаться. Значит пересчитанный уровень </w:t>
      </w:r>
      <w:r>
        <w:rPr>
          <w:b/>
          <w:color w:val="0B0B0B"/>
        </w:rPr>
        <w:t>зависит от якорной даты</w:t>
      </w:r>
      <w:r>
        <w:rPr>
          <w:color w:val="0B0B0B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Якорь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Отношение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Пересчитанный уровень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08.2023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0,7791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121,93 %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11.2024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0,8372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113,47 %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01.2026 — выбранный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0,8745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108,63 %</w:t>
            </w:r>
          </w:p>
        </w:tc>
      </w:tr>
    </w:tbl>
    <w:p/>
    <w:p>
      <w:pPr>
        <w:jc w:val="both"/>
      </w:pPr>
      <w:r>
        <w:rPr>
          <w:color w:val="0B0B0B"/>
        </w:rPr>
        <w:t>Первый же вопрос на согласовании: «а почему не 113 и не 122?» — и на аргумент о переводе единиц ответить будет нечем.</w:t>
      </w:r>
    </w:p>
    <w:p>
      <w:pPr>
        <w:pStyle w:val="Heading3"/>
      </w:pPr>
      <w:r>
        <w:t>Как чинить — и защита здесь сильнее прежней</w:t>
      </w:r>
    </w:p>
    <w:p>
      <w:pPr>
        <w:jc w:val="both"/>
      </w:pPr>
      <w:r>
        <w:rPr>
          <w:color w:val="0B0B0B"/>
        </w:rPr>
        <w:t xml:space="preserve">Аргумент заменяется на более скромный и при этом </w:t>
      </w:r>
      <w:r>
        <w:rPr>
          <w:b/>
          <w:color w:val="0B0B0B"/>
        </w:rPr>
        <w:t>более убедительный</w:t>
      </w:r>
      <w:r>
        <w:rPr>
          <w:color w:val="0B0B0B"/>
        </w:rPr>
        <w:t>:</w:t>
      </w:r>
    </w:p>
    <w:p>
      <w:pPr>
        <w:ind w:left="480"/>
      </w:pPr>
      <w:r>
        <w:rPr>
          <w:i/>
          <w:color w:val="5A5A5A"/>
        </w:rPr>
        <w:t xml:space="preserve">Уровень пересчитан по отношению баз </w:t>
      </w:r>
      <w:r>
        <w:rPr>
          <w:b/>
          <w:i/>
          <w:color w:val="5A5A5A"/>
        </w:rPr>
        <w:t>на дату перевода показателя</w:t>
      </w:r>
      <w:r>
        <w:rPr>
          <w:i/>
          <w:color w:val="5A5A5A"/>
        </w:rPr>
        <w:t>. Отношение</w:t>
      </w:r>
    </w:p>
    <w:p>
      <w:pPr>
        <w:ind w:left="480"/>
      </w:pPr>
      <w:r>
        <w:rPr>
          <w:i/>
          <w:color w:val="5A5A5A"/>
        </w:rPr>
        <w:t>не является постоянным, поэтому пересчитанный уровень зависит от выбора якоря.</w:t>
      </w:r>
    </w:p>
    <w:p>
      <w:pPr>
        <w:ind w:left="480"/>
      </w:pPr>
      <w:r>
        <w:rPr>
          <w:i/>
          <w:color w:val="5A5A5A"/>
        </w:rPr>
        <w:t xml:space="preserve">Якорь задан </w:t>
      </w:r>
      <w:r>
        <w:rPr>
          <w:b/>
          <w:i/>
          <w:color w:val="5A5A5A"/>
        </w:rPr>
        <w:t>правилом</w:t>
      </w:r>
      <w:r>
        <w:rPr>
          <w:i/>
          <w:color w:val="5A5A5A"/>
        </w:rPr>
        <w:t xml:space="preserve"> — датой перевода, — а не подбором; и выбранный якорь даёт</w:t>
      </w:r>
    </w:p>
    <w:p>
      <w:pPr>
        <w:ind w:left="480"/>
      </w:pPr>
      <w:r>
        <w:rPr>
          <w:b/>
          <w:i/>
          <w:color w:val="5A5A5A"/>
        </w:rPr>
        <w:t>наименьшее из возможных значений</w:t>
      </w:r>
      <w:r>
        <w:rPr>
          <w:i/>
          <w:color w:val="5A5A5A"/>
        </w:rPr>
        <w:t>: 108,63 % против 113,47 % и 121,93 % при более</w:t>
      </w:r>
    </w:p>
    <w:p>
      <w:pPr>
        <w:ind w:left="480"/>
      </w:pPr>
      <w:r>
        <w:rPr>
          <w:i/>
          <w:color w:val="5A5A5A"/>
        </w:rPr>
        <w:t xml:space="preserve">ранних датах. То есть выбор якоря работает </w:t>
      </w:r>
      <w:r>
        <w:rPr>
          <w:b/>
          <w:i/>
          <w:color w:val="5A5A5A"/>
        </w:rPr>
        <w:t>против</w:t>
      </w:r>
      <w:r>
        <w:rPr>
          <w:i/>
          <w:color w:val="5A5A5A"/>
        </w:rPr>
        <w:t xml:space="preserve"> послабления, а не в его пользу.</w:t>
      </w:r>
    </w:p>
    <w:p>
      <w:pPr>
        <w:jc w:val="both"/>
      </w:pPr>
      <w:r>
        <w:rPr>
          <w:color w:val="0B0B0B"/>
        </w:rPr>
        <w:t>Это снимает подозрение в подгонке не декларацией, а арифметикой. Рекомендую поставить таблицу трёх якорей прямо в § 6 — она защищает лучше, чем её отсутствие.</w:t>
      </w:r>
    </w:p>
    <w:p>
      <w:pPr>
        <w:pStyle w:val="Heading3"/>
      </w:pPr>
      <w:r>
        <w:t>Эта же ошибка была у меня</w:t>
      </w:r>
    </w:p>
    <w:p>
      <w:pPr>
        <w:jc w:val="both"/>
      </w:pPr>
      <w:r>
        <w:rPr>
          <w:color w:val="0B0B0B"/>
        </w:rPr>
        <w:t>В моей версии записки (</w:t>
      </w:r>
      <w:r>
        <w:rPr>
          <w:rFonts w:ascii="Consolas" w:hAnsi="Consolas"/>
          <w:color w:val="0B0B0B"/>
          <w:sz w:val="19"/>
        </w:rPr>
        <w:t>ZAPISKA_v0_7.md</w:t>
      </w:r>
      <w:r>
        <w:rPr>
          <w:color w:val="0B0B0B"/>
        </w:rPr>
        <w:t xml:space="preserve">) стояло то же самое: «изменилось определение балансового собственного капитала» и сравнение с километрами и милями. </w:t>
      </w:r>
      <w:r>
        <w:rPr>
          <w:b/>
          <w:color w:val="0B0B0B"/>
        </w:rPr>
        <w:t>Исправлено в обоих документах</w:t>
      </w:r>
      <w:r>
        <w:rPr>
          <w:color w:val="0B0B0B"/>
        </w:rPr>
        <w:t>; причина ошибки — я принял две колонки файла за одну переопределённую величину, не проверив, что они считаются параллельно.</w:t>
      </w:r>
    </w:p>
    <w:p>
      <w:pPr>
        <w:pStyle w:val="Heading2"/>
      </w:pPr>
      <w:r>
        <w:t>3. Пять замечаний помельче</w:t>
      </w:r>
    </w:p>
    <w:p>
      <w:pPr>
        <w:jc w:val="both"/>
      </w:pPr>
      <w:r>
        <w:rPr>
          <w:b/>
          <w:color w:val="0B0B0B"/>
        </w:rPr>
        <w:t>3.1. Запас по CoR КБ исправлен молча.</w:t>
      </w:r>
      <w:r>
        <w:rPr>
          <w:color w:val="0B0B0B"/>
        </w:rPr>
        <w:t xml:space="preserve"> В Таблице 1 стоит 3,35 п.п. В форме 50 в той же графе — 3,0 %, потому что там запас считается формулой с усечением на нуле: при отрицательном факте показывается сам лимит. Пересчёт </w:t>
      </w:r>
      <w:r>
        <w:rPr>
          <w:b/>
          <w:color w:val="0B0B0B"/>
        </w:rPr>
        <w:t>верен</w:t>
      </w:r>
      <w:r>
        <w:rPr>
          <w:color w:val="0B0B0B"/>
        </w:rPr>
        <w:t xml:space="preserve"> (3,0 − (−0,35) = 3,35), но читатель, сверяющий с формой, увидит другое число. </w:t>
      </w:r>
      <w:r>
        <w:rPr>
          <w:b/>
          <w:color w:val="0B0B0B"/>
        </w:rPr>
        <w:t>Добавить сноску:</w:t>
      </w:r>
      <w:r>
        <w:rPr>
          <w:color w:val="0B0B0B"/>
        </w:rPr>
        <w:t xml:space="preserve"> «запас рассчитан как разность уровня и фактического значения; в форме 50 по данной строке применяется усечение отрицательного факта до нуля».</w:t>
      </w:r>
    </w:p>
    <w:p>
      <w:pPr>
        <w:jc w:val="both"/>
      </w:pPr>
      <w:r>
        <w:rPr>
          <w:b/>
          <w:color w:val="0B0B0B"/>
        </w:rPr>
        <w:t>3.2. У триггера T2 не указан порог.</w:t>
      </w:r>
      <w:r>
        <w:rPr>
          <w:color w:val="0B0B0B"/>
        </w:rPr>
        <w:t xml:space="preserve"> В таблице § 9 у T1 пороги есть (ΔСК ≤ −3 %, ΔЗайм ≥ +5 %), у T2 в графе порога — описание, а не число. Дописать: </w:t>
      </w:r>
      <w:r>
        <w:rPr>
          <w:b/>
          <w:color w:val="0B0B0B"/>
        </w:rPr>
        <w:t>изменение показателя за 4 месяца ≥ M(4) = 10,42 пп</w:t>
      </w:r>
      <w:r>
        <w:rPr>
          <w:color w:val="0B0B0B"/>
        </w:rPr>
        <w:t>.</w:t>
      </w:r>
    </w:p>
    <w:p>
      <w:pPr>
        <w:jc w:val="both"/>
      </w:pPr>
      <w:r>
        <w:rPr>
          <w:b/>
          <w:color w:val="0B0B0B"/>
        </w:rPr>
        <w:t>3.3. Прочерки в Таблице 4 за 01.07.2026 вызовут вопрос.</w:t>
      </w:r>
      <w:r>
        <w:rPr>
          <w:color w:val="0B0B0B"/>
        </w:rPr>
        <w:t xml:space="preserve"> Регуляторный капитал на эту дату известен и лежит в той же форме 50, которую цитирует записка: 550 245 млн ₸. Кто-нибудь в зале поделит и получит </w:t>
      </w:r>
      <w:r>
        <w:rPr>
          <w:b/>
          <w:color w:val="0B0B0B"/>
        </w:rPr>
        <w:t>81,6 %</w:t>
      </w:r>
      <w:r>
        <w:rPr>
          <w:color w:val="0B0B0B"/>
        </w:rPr>
        <w:t>. Лучше закрыть это заранее сноской: показатель к регуляторному капиталу не рассчитывается, поскольку база расчёта — балансовый капитал.</w:t>
      </w:r>
    </w:p>
    <w:p>
      <w:pPr>
        <w:jc w:val="both"/>
      </w:pPr>
      <w:r>
        <w:rPr>
          <w:b/>
          <w:color w:val="0B0B0B"/>
        </w:rPr>
        <w:t>Заодно из той же таблицы не сделан вывод, который стоило бы сделать.</w:t>
      </w:r>
      <w:r>
        <w:rPr>
          <w:color w:val="0B0B0B"/>
        </w:rPr>
        <w:t xml:space="preserve"> На прежней базе показатель за всю историю </w:t>
      </w:r>
      <w:r>
        <w:rPr>
          <w:b/>
          <w:color w:val="0B0B0B"/>
        </w:rPr>
        <w:t>не превышал 84,38 %</w:t>
      </w:r>
      <w:r>
        <w:rPr>
          <w:color w:val="0B0B0B"/>
        </w:rPr>
        <w:t xml:space="preserve"> при уровне 95 % — то есть уровень не ограничивал показатель ни разу. Это одна строка, и она усиливает раздел.</w:t>
      </w:r>
    </w:p>
    <w:p>
      <w:pPr>
        <w:jc w:val="both"/>
      </w:pPr>
      <w:r>
        <w:rPr>
          <w:b/>
          <w:color w:val="0B0B0B"/>
        </w:rPr>
        <w:t>3.4. Источник Таблиц 2 и 3 не назван.</w:t>
      </w:r>
      <w:r>
        <w:rPr>
          <w:color w:val="0B0B0B"/>
        </w:rPr>
        <w:t xml:space="preserve"> Структура портфеля по группам рейтингов на пять дат — единственные числа записки, которые я не могу сверить. Указать источник. Отдельно: доля низкого риска в КБ меняется 26 % → 11 % → 28 % за два года; такие качели попросят объяснить.</w:t>
      </w:r>
    </w:p>
    <w:p>
      <w:pPr>
        <w:jc w:val="both"/>
      </w:pPr>
      <w:r>
        <w:rPr>
          <w:b/>
          <w:color w:val="0B0B0B"/>
        </w:rPr>
        <w:t>3.5. «Ежегодная оценка» заявлена, но не обоснована.</w:t>
      </w:r>
      <w:r>
        <w:rPr>
          <w:color w:val="0B0B0B"/>
        </w:rPr>
        <w:t xml:space="preserve"> Предложения 1 и 7 говорят о ежегодном пересмотре как о существующем порядке. Если он закреплён — сослаться на пункт; если вводится — писать «установить», а не «сохранить».</w:t>
      </w:r>
    </w:p>
    <w:p>
      <w:pPr>
        <w:pStyle w:val="Heading2"/>
      </w:pPr>
      <w:r>
        <w:t>4. Приложения</w:t>
      </w:r>
    </w:p>
    <w:p>
      <w:pPr>
        <w:jc w:val="both"/>
      </w:pPr>
      <w:r>
        <w:rPr>
          <w:color w:val="0B0B0B"/>
        </w:rPr>
        <w:t xml:space="preserve">Приложено одно — расчётный лист v1.8. Раздел 13 говорит, что развёрнутый перечень мер в записку не входит, но не указывает, где он будет. </w:t>
      </w:r>
      <w:r>
        <w:rPr>
          <w:b/>
          <w:color w:val="0B0B0B"/>
        </w:rPr>
        <w:t>Добавить вторым приложением шаблон мер</w:t>
      </w:r>
      <w:r>
        <w:rPr>
          <w:color w:val="0B0B0B"/>
        </w:rPr>
        <w:t xml:space="preserve"> (48 случаев, пять уровней) — иначе читателю некуда идти за тем, что записка обещает.</w:t>
      </w:r>
    </w:p>
    <w:p>
      <w:pPr>
        <w:pStyle w:val="Heading2"/>
      </w:pPr>
      <w:r>
        <w:t>5. Что в версии 1.1 сделано лучше, чем у меня</w:t>
      </w:r>
    </w:p>
    <w:p>
      <w:pPr>
        <w:jc w:val="both"/>
      </w:pPr>
      <w:r>
        <w:rPr>
          <w:color w:val="0B0B0B"/>
        </w:rPr>
        <w:t>Отмечаю, потому что это стоит сохранить при правках.</w:t>
      </w:r>
    </w:p>
    <w:p>
      <w:pPr>
        <w:pStyle w:val="ListBullet"/>
      </w:pPr>
      <w:r>
        <w:rPr>
          <w:b/>
          <w:color w:val="0B0B0B"/>
        </w:rPr>
        <w:t>Таблица 1 по всем двенадцати показателям сразу.</w:t>
      </w:r>
      <w:r>
        <w:rPr>
          <w:color w:val="0B0B0B"/>
        </w:rPr>
        <w:t xml:space="preserve"> У меня разбор шёл от топ-20,</w:t>
      </w:r>
    </w:p>
    <w:p>
      <w:pPr>
        <w:jc w:val="both"/>
      </w:pPr>
      <w:r>
        <w:rPr>
          <w:color w:val="0B0B0B"/>
        </w:rPr>
        <w:t>и полная картина появлялась только к концу. Так правильнее: сначала «одиннадцать из двенадцати в пределах уровней», потом разбор исключения.</w:t>
      </w:r>
    </w:p>
    <w:p>
      <w:pPr>
        <w:pStyle w:val="ListBullet"/>
      </w:pPr>
      <w:r>
        <w:rPr>
          <w:b/>
          <w:color w:val="0B0B0B"/>
        </w:rPr>
        <w:t>Разделы 3 и 4 — риск-профиль и динамика структуры портфеля.</w:t>
      </w:r>
      <w:r>
        <w:rPr>
          <w:color w:val="0B0B0B"/>
        </w:rPr>
        <w:t xml:space="preserve"> Их у меня не было вовсе,</w:t>
      </w:r>
    </w:p>
    <w:p>
      <w:pPr>
        <w:jc w:val="both"/>
      </w:pPr>
      <w:r>
        <w:rPr>
          <w:color w:val="0B0B0B"/>
        </w:rPr>
        <w:t>а это прямой ответ на вопрос «ухудшилось ли качество портфеля»: доля высокого риска упала с 16 % до 2 % в КБ и с 7 % до 1 % в МСБ.</w:t>
      </w:r>
    </w:p>
    <w:p>
      <w:pPr>
        <w:pStyle w:val="ListBullet"/>
      </w:pPr>
      <w:r>
        <w:rPr>
          <w:b/>
          <w:color w:val="0B0B0B"/>
        </w:rPr>
        <w:t>Формулировка § 13 про меры</w:t>
      </w:r>
      <w:r>
        <w:rPr>
          <w:color w:val="0B0B0B"/>
        </w:rPr>
        <w:t xml:space="preserve"> — состав того, что должно быть в каждой мере (действие,</w:t>
      </w:r>
    </w:p>
    <w:p>
      <w:pPr>
        <w:jc w:val="both"/>
      </w:pPr>
      <w:r>
        <w:rPr>
          <w:color w:val="0B0B0B"/>
        </w:rPr>
        <w:t>ответственный, основание в ВНД, срок, контролируемый результат) — точнее моей.</w:t>
      </w:r>
    </w:p>
    <w:p>
      <w:pPr>
        <w:pStyle w:val="ListBullet"/>
      </w:pPr>
      <w:r>
        <w:rPr>
          <w:b/>
          <w:color w:val="0B0B0B"/>
        </w:rPr>
        <w:t>Четвёртое самовозражение</w:t>
      </w:r>
      <w:r>
        <w:rPr>
          <w:color w:val="0B0B0B"/>
        </w:rPr>
        <w:t xml:space="preserve"> в § 12 добавлено сверх плана.</w:t>
      </w:r>
    </w:p>
    <w:p>
      <w:pPr>
        <w:pStyle w:val="Heading2"/>
      </w:pPr>
      <w:r>
        <w:t>6. Что делать по пунктам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0B0B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Правка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Где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Вес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Исправить «смена определения балансового капитала» на «перевод показателя с регуляторного капитала на балансовый»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§ 5.1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обязательно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Заменить аргумент «одна величина в двух системах измерения» на якорную таблицу трёх дат с выводом, что выбранный якорь даёт наименьший уровень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§ 6, вывод 6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обязательно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Сноска про усечение запаса по CoR в форме 50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Таблица 1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желательно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Дописать числовой порог T2 = 10,42 пп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§ 9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желательно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Сноска про прочерки и строка о том, что на прежней базе максимум 84,38 %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Таблица 4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желательно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Назвать источник Таблиц 2 и 3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§ 4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желательно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«Установить» вместо «сохранить» по ежегодному пересмотру либо ссылка на пункт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Предложения 1, 7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мелочь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Добавить шаблон мер вторым приложением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Приложения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желательно</w:t>
            </w:r>
          </w:p>
        </w:tc>
      </w:tr>
    </w:tbl>
    <w:p/>
    <w:p>
      <w:pPr>
        <w:jc w:val="both"/>
      </w:pPr>
      <w:r>
        <w:rPr>
          <w:color w:val="0B0B0B"/>
        </w:rPr>
        <w:t>Правки 1 и 2 — содержательные, остальные снимают вопросы на согласовании. Работы примерно на час.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