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Ревизия системы риск-аппетита по кредитному риску — единая задача</w:t>
      </w:r>
    </w:p>
    <w:p>
      <w:pPr>
        <w:jc w:val="both"/>
      </w:pPr>
      <w:r>
        <w:rPr>
          <w:color w:val="0B0B0B"/>
        </w:rPr>
        <w:t>Составлено 17.09.2026. Постановка Дамира после защиты работы по риск-аппетиту разделялась на четыре обращения: пересобрать записку со сторилайном и донастроить триггеры; довести меры реагирования до разбора всех случаев для Sabila; дать качественную оценку самой рамке — управляет она риском или это процесс ради процесса; разобрать CoR с мастер-шкалой и упаковать зонирование в переносимый инструмент.</w:t>
      </w:r>
    </w:p>
    <w:p>
      <w:pPr>
        <w:jc w:val="both"/>
      </w:pPr>
      <w:r>
        <w:rPr>
          <w:b/>
          <w:color w:val="0B0B0B"/>
        </w:rPr>
        <w:t>Здесь они сведены в одну задачу.</w:t>
      </w:r>
      <w:r>
        <w:rPr>
          <w:color w:val="0B0B0B"/>
        </w:rPr>
        <w:t xml:space="preserve"> Не потому, что так удобнее вести, а потому, что это один вопрос, заданный на четырёх глубинах, и каждая нижняя обесценивает верхнюю, если не держится. Разделение на четыре трека создаёт иллюзию, будто по трём можно идти, пока четвёртый стоит. Нельзя: мы уже один раз построили лестницу зон на метрике, знаменатель которой оказался под вопросом.</w:t>
      </w:r>
    </w:p>
    <w:p>
      <w:pPr>
        <w:jc w:val="both"/>
      </w:pPr>
      <w:r>
        <w:rPr>
          <w:color w:val="0B0B0B"/>
        </w:rPr>
        <w:t xml:space="preserve">Решение по итогу — </w:t>
      </w:r>
      <w:r>
        <w:rPr>
          <w:b/>
          <w:color w:val="0B0B0B"/>
        </w:rPr>
        <w:t>пивот либо актуализация</w:t>
      </w:r>
      <w:r>
        <w:rPr>
          <w:color w:val="0B0B0B"/>
        </w:rPr>
        <w:t xml:space="preserve"> — принимает Дамир и вышестоящие руководители. Задача готовит не рекомендацию, а пакет, по которому это решение можно принять.</w:t>
      </w:r>
    </w:p>
    <w:p>
      <w:pPr>
        <w:pStyle w:val="Heading2"/>
      </w:pPr>
      <w:r>
        <w:t>Сначала возражение против самой этой постановки</w:t>
      </w:r>
    </w:p>
    <w:p>
      <w:pPr>
        <w:jc w:val="both"/>
      </w:pPr>
      <w:r>
        <w:rPr>
          <w:b/>
          <w:color w:val="0B0B0B"/>
        </w:rPr>
        <w:t>Сведение в одну задачу делает всё заблокированным всем.</w:t>
      </w:r>
      <w:r>
        <w:rPr>
          <w:color w:val="0B0B0B"/>
        </w:rPr>
        <w:t xml:space="preserve"> Пока открыт вопрос о знаменателе топ-20 (В56), под сомнением оказывается и записка, и зоны, и оценка рамки, и приёмка инструмента — потому что все они проверяются на этой метрике. Четыре отдельных трека позволяли бы двигать три, пока четвёртый ждёт.</w:t>
      </w:r>
    </w:p>
    <w:p>
      <w:pPr>
        <w:jc w:val="both"/>
      </w:pPr>
      <w:r>
        <w:rPr>
          <w:b/>
          <w:color w:val="0B0B0B"/>
        </w:rPr>
        <w:t>Возражение принимается наполовину, и вот граница.</w:t>
      </w:r>
      <w:r>
        <w:rPr>
          <w:color w:val="0B0B0B"/>
        </w:rPr>
        <w:t xml:space="preserve"> Вложенность существует независимо от того, называем мы её или нет: работа, построенная на непроверенном основании, не экономится, а переделывается. Но из этого не следует, что надо остановиться целиком. Поэтому § 6 отдельно перечисляет, </w:t>
      </w:r>
      <w:r>
        <w:rPr>
          <w:b/>
          <w:color w:val="0B0B0B"/>
        </w:rPr>
        <w:t>что остаётся верным при любом исходе В56</w:t>
      </w:r>
      <w:r>
        <w:rPr>
          <w:color w:val="0B0B0B"/>
        </w:rPr>
        <w:t xml:space="preserve"> — и этого достаточно, чтобы не простаивать.</w:t>
      </w:r>
    </w:p>
    <w:p>
      <w:pPr>
        <w:jc w:val="both"/>
      </w:pPr>
      <w:r>
        <w:rPr>
          <w:b/>
          <w:color w:val="0B0B0B"/>
        </w:rPr>
        <w:t>Второе возражение, более неприятное.</w:t>
      </w:r>
      <w:r>
        <w:rPr>
          <w:color w:val="0B0B0B"/>
        </w:rPr>
        <w:t xml:space="preserve"> Вопрос «управляет ли рамка риском» поставлен внутри БРМ, то есть подразделением, которое эту рамку и ведёт. Самооценка не является независимой оценкой, и СВА вправе так и прочитать. Защита одна и она процедурная: каждое утверждение о дефекте опирается на </w:t>
      </w:r>
      <w:r>
        <w:rPr>
          <w:b/>
          <w:color w:val="0B0B0B"/>
        </w:rPr>
        <w:t>формулу или ячейку первоисточника</w:t>
      </w:r>
      <w:r>
        <w:rPr>
          <w:color w:val="0B0B0B"/>
        </w:rPr>
        <w:t>, а не на суждение, и потому проверяется любым читателем без нашего участия. Там, где такой опоры нет, стоит пометка «гипотеза». Оценок без опоры в пакете быть не должно.</w:t>
      </w:r>
    </w:p>
    <w:p>
      <w:pPr>
        <w:pStyle w:val="Heading2"/>
      </w:pPr>
      <w:r>
        <w:t>1. Один вопрос</w:t>
      </w:r>
    </w:p>
    <w:p>
      <w:pPr>
        <w:ind w:left="480"/>
      </w:pPr>
      <w:r>
        <w:rPr>
          <w:i/>
          <w:color w:val="5A5A5A"/>
        </w:rPr>
        <w:t>**Управляет ли действующая система риск-аппетита кредитным риском Банка — и если нет,</w:t>
      </w:r>
    </w:p>
    <w:p>
      <w:pPr>
        <w:ind w:left="480"/>
      </w:pPr>
      <w:r>
        <w:rPr>
          <w:i/>
          <w:color w:val="5A5A5A"/>
        </w:rPr>
        <w:t>что именно нужно изменить: основание измерения, механизм реагирования, устройство рамки</w:t>
      </w:r>
    </w:p>
    <w:p>
      <w:pPr>
        <w:ind w:left="480"/>
      </w:pPr>
      <w:r>
        <w:rPr>
          <w:i/>
          <w:color w:val="5A5A5A"/>
        </w:rPr>
        <w:t>или всё три.**</w:t>
      </w:r>
    </w:p>
    <w:p>
      <w:pPr>
        <w:jc w:val="both"/>
      </w:pPr>
      <w:r>
        <w:rPr>
          <w:color w:val="0B0B0B"/>
        </w:rPr>
        <w:t xml:space="preserve">Это не тот вопрос, на который отвечала предыдущая работа. Та отвечала: </w:t>
      </w:r>
      <w:r>
        <w:rPr>
          <w:b/>
          <w:color w:val="0B0B0B"/>
        </w:rPr>
        <w:t>как разметить зоны</w:t>
      </w:r>
      <w:r>
        <w:rPr>
          <w:color w:val="0B0B0B"/>
        </w:rPr>
        <w:t xml:space="preserve"> по метрике топ-20 и перенести метод на остальные одиннадцать. Ответ получен и защищён. Новый вопрос выше: </w:t>
      </w:r>
      <w:r>
        <w:rPr>
          <w:b/>
          <w:color w:val="0B0B0B"/>
        </w:rPr>
        <w:t>стоит ли эта разметка на чём-то, что держится.</w:t>
      </w:r>
    </w:p>
    <w:p>
      <w:pPr>
        <w:jc w:val="both"/>
      </w:pPr>
      <w:r>
        <w:rPr>
          <w:color w:val="0B0B0B"/>
        </w:rPr>
        <w:t>Различие принципиальное. Разметка зон может быть безупречной и при этом бесполезной, если метрика делится не на то, если агрегат не замечает обнуления компоненты, а мера реагирования не привязана ни к одной процедуре.</w:t>
      </w:r>
    </w:p>
    <w:p>
      <w:pPr>
        <w:jc w:val="both"/>
      </w:pPr>
      <w:r>
        <w:rPr>
          <w:b/>
          <w:color w:val="0B0B0B"/>
        </w:rPr>
        <w:t>Форма ответа.</w:t>
      </w:r>
      <w:r>
        <w:rPr>
          <w:color w:val="0B0B0B"/>
        </w:rPr>
        <w:t xml:space="preserve"> Пакет, выносимый на уполномоченный орган: что доказано, что взято из документа, что остаётся гипотезой, три варианта решения и цена каждого. Не заключение «рамка плохая» и не заключение «рамка хорошая» — набор проверяемых утверждений, по которому решение принимает тот, кто вправе его принять.</w:t>
      </w:r>
    </w:p>
    <w:p>
      <w:pPr>
        <w:pStyle w:val="Heading2"/>
      </w:pPr>
      <w:r>
        <w:t>2. Основание: что уже установлено</w:t>
      </w:r>
    </w:p>
    <w:p>
      <w:pPr>
        <w:jc w:val="both"/>
      </w:pPr>
      <w:r>
        <w:rPr>
          <w:color w:val="0B0B0B"/>
        </w:rPr>
        <w:t>Задача начинается не с нуля. Ниже — то, на что она опирается, с разделением по §5.</w:t>
      </w:r>
    </w:p>
    <w:p>
      <w:pPr>
        <w:pStyle w:val="Heading3"/>
      </w:pPr>
      <w:r>
        <w:t>2.1 Доказано на данных или разбором формул первоисточника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Что установлено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Чем доказано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Г46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На листе 50-1 на одну дату </w:t>
            </w:r>
            <w:r>
              <w:rPr>
                <w:b/>
                <w:color w:val="0B0B0B"/>
              </w:rPr>
              <w:t>два</w:t>
            </w:r>
            <w:r>
              <w:rPr>
                <w:color w:val="0B0B0B"/>
              </w:rPr>
              <w:t xml:space="preserve"> «Собственных капитала»: 442 346,331 млн ₸ в знаменателе топ-20 и 550 245,387 млн ₸ в числителе k2. Разница 24,39 %. При первом топ-20 = 101,50 % (перелимит +6,50 пп), при втором = 81,60 % (запас +13,40 пп)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ячейки E11, E38, E52; воспроизведение k2 = E52/E47 = 0,2762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Г41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ACARI и ALRI — среднее арифметическое трёх сырых коэффициентов. При k1 = 0 ACARI = 15,90 % и остаётся </w:t>
            </w:r>
            <w:r>
              <w:rPr>
                <w:b/>
                <w:color w:val="0B0B0B"/>
              </w:rPr>
              <w:t>зелёным</w:t>
            </w:r>
            <w:r>
              <w:rPr>
                <w:color w:val="0B0B0B"/>
              </w:rPr>
              <w:t xml:space="preserve">; при HLA = 0 ALRI = 118,28 % и остаётся </w:t>
            </w:r>
            <w:r>
              <w:rPr>
                <w:b/>
                <w:color w:val="0B0B0B"/>
              </w:rPr>
              <w:t>зелёным</w:t>
            </w:r>
            <w:r>
              <w:rPr>
                <w:color w:val="0B0B0B"/>
              </w:rPr>
              <w:t xml:space="preserve">. Когда все три компоненты стоят ровно на лимитах, агрегат </w:t>
            </w:r>
            <w:r>
              <w:rPr>
                <w:b/>
                <w:color w:val="0B0B0B"/>
              </w:rPr>
              <w:t>краснеет</w:t>
            </w:r>
            <w:r>
              <w:rPr>
                <w:color w:val="0B0B0B"/>
              </w:rPr>
              <w:t xml:space="preserve"> (9,67 и 76,67). Вклад в ALRI: LCR 51,7 %, NSFR 38,9 %, HLA 9,4 %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формулы E44, E55; пределы Приложения № 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Д9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«Запас = лимит − max(факт, 0)» — не наша реконструкция, а формула книги; воспроизводится текстом отчёта («CoR −0,35 % при лимите 3,0 %. Запас: 3,0 %»)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формула H18 листа 50-1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Г37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Мастер-шкала 1–50 — матрица «рейтинг заёмщика 1–10 × рейтинг сделки I–V». Отсечение 33 = счёт приемлемых сочетаний (8×4 + 1V). Три полосы риска заданы там же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Приложение № 5.9 к Методике провизий; составляющие — 5.6 и 5.8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В51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Стадия определяется порогом </w:t>
            </w:r>
            <w:r>
              <w:rPr>
                <w:b/>
                <w:color w:val="0B0B0B"/>
              </w:rPr>
              <w:t>+80 % к LTPD PIT</w:t>
            </w:r>
            <w:r>
              <w:rPr>
                <w:color w:val="0B0B0B"/>
              </w:rPr>
              <w:t xml:space="preserve"> относительно первоначального признания, а не рейтинговой группой. Рейтинг входит опосредованно, через LTPD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Приложение № 2 к Методике, раздел 2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Триггеры зону </w:t>
            </w:r>
            <w:r>
              <w:rPr>
                <w:b/>
                <w:color w:val="0B0B0B"/>
              </w:rPr>
              <w:t>не дублируют</w:t>
            </w:r>
            <w:r>
              <w:rPr>
                <w:color w:val="0B0B0B"/>
              </w:rPr>
              <w:t xml:space="preserve">: 23 из 24 срабатываний T1 и 15 из 17 T2 — в зелёной зоне; зона за 36 месяцев ухудшилась дважды. Но частота T1 6,9 % против расчётных 10 % — порог работает как </w:t>
            </w:r>
            <w:r>
              <w:rPr>
                <w:b/>
                <w:color w:val="0B0B0B"/>
              </w:rPr>
              <w:t>счётчик частоты</w:t>
            </w:r>
            <w:r>
              <w:rPr>
                <w:color w:val="0B0B0B"/>
              </w:rPr>
              <w:t>, а не детектор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B0B0B"/>
                <w:sz w:val="19"/>
              </w:rPr>
              <w:t>calib/trigger_audit.py</w:t>
            </w:r>
            <w:r>
              <w:rPr>
                <w:color w:val="0B0B0B"/>
              </w:rPr>
              <w:t>, 320 наблюдений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Машина мер, прогнанная назад: R0 88,1 %, R1 9,4 %, R2 2,2 %, R3 </w:t>
            </w:r>
            <w:r>
              <w:rPr>
                <w:b/>
                <w:color w:val="0B0B0B"/>
              </w:rPr>
              <w:t>один раз</w:t>
            </w:r>
            <w:r>
              <w:rPr>
                <w:color w:val="0B0B0B"/>
              </w:rPr>
              <w:t xml:space="preserve"> (январь 2024, топ-20, 105,90 % при границе 103,42 %), R4 ни разу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там же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Правило выбора метода — три условия из предпосылок M(T): граница зелёной выше нуля, нет сезона закрытия, формула не уже фактических движений. Выполняют </w:t>
            </w:r>
            <w:r>
              <w:rPr>
                <w:b/>
                <w:color w:val="0B0B0B"/>
              </w:rPr>
              <w:t>десять метрик из двенадцати</w:t>
            </w:r>
            <w:r>
              <w:rPr>
                <w:color w:val="0B0B0B"/>
              </w:rPr>
              <w:t>, включая топ-20. Две CoR — сезон годового закрытия (81–82 % дисперсии приращений в феврале–марте), у КБ/ПБ граница зелёной −0,29; для них квантиль по 29 обычным месяцам: 1,57 / 2,28 и 2,49 / 3,13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B0B0B"/>
                <w:sz w:val="19"/>
              </w:rPr>
              <w:t>calib/method_selection.py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Обратный стресс по топ-20: падение капитала на </w:t>
            </w:r>
            <w:r>
              <w:rPr>
                <w:b/>
                <w:color w:val="0B0B0B"/>
              </w:rPr>
              <w:t>6,56 %</w:t>
            </w:r>
            <w:r>
              <w:rPr>
                <w:color w:val="0B0B0B"/>
              </w:rPr>
              <w:t xml:space="preserve"> выводит метрику на уровень; фактический шок Q1 2026 был </w:t>
            </w:r>
            <w:r>
              <w:rPr>
                <w:b/>
                <w:color w:val="0B0B0B"/>
              </w:rPr>
              <w:t>−19,66 %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B0B0B"/>
                <w:sz w:val="19"/>
              </w:rPr>
              <w:t>calib/stress_anchor.py</w:t>
            </w:r>
          </w:p>
        </w:tc>
      </w:tr>
    </w:tbl>
    <w:p/>
    <w:p>
      <w:pPr>
        <w:pStyle w:val="Heading3"/>
      </w:pPr>
      <w:r>
        <w:t>2.2 Взято из документа</w:t>
      </w:r>
    </w:p>
    <w:p>
      <w:pPr>
        <w:pStyle w:val="ListBullet"/>
      </w:pPr>
      <w:r>
        <w:rPr>
          <w:color w:val="0B0B0B"/>
        </w:rPr>
        <w:t xml:space="preserve">Уровень 95 % установлен Приложением № 3 к Политике; </w:t>
      </w:r>
      <w:r>
        <w:rPr>
          <w:b/>
          <w:color w:val="0B0B0B"/>
        </w:rPr>
        <w:t>ни один НПА его не задаёт</w:t>
      </w:r>
      <w:r>
        <w:rPr>
          <w:color w:val="0B0B0B"/>
        </w:rPr>
        <w:t>.</w:t>
      </w:r>
    </w:p>
    <w:p>
      <w:pPr>
        <w:pStyle w:val="ListBullet"/>
      </w:pPr>
      <w:r>
        <w:rPr>
          <w:color w:val="0B0B0B"/>
        </w:rPr>
        <w:t>Названия и определения зон — Приложение № 2 к Методике агрегированных уровней, совпадают</w:t>
      </w:r>
    </w:p>
    <w:p>
      <w:pPr>
        <w:jc w:val="both"/>
      </w:pPr>
      <w:r>
        <w:rPr>
          <w:color w:val="0B0B0B"/>
        </w:rPr>
        <w:t>с п. 18 Правил № 86 (пост. АРРФР от 28.04.2026, рег. № 38586).</w:t>
      </w:r>
    </w:p>
    <w:p>
      <w:pPr>
        <w:pStyle w:val="ListBullet"/>
      </w:pPr>
      <w:r>
        <w:rPr>
          <w:color w:val="0B0B0B"/>
        </w:rPr>
        <w:t>Разработка триггеров и систем раннего предупреждения — прямая обязанность БРМ,</w:t>
      </w:r>
    </w:p>
    <w:p>
      <w:pPr>
        <w:jc w:val="both"/>
      </w:pPr>
      <w:r>
        <w:rPr>
          <w:color w:val="0B0B0B"/>
        </w:rPr>
        <w:t>п. 34 пп. 5 и 6 Правил № 86.</w:t>
      </w:r>
    </w:p>
    <w:p>
      <w:pPr>
        <w:pStyle w:val="ListBullet"/>
      </w:pPr>
      <w:r>
        <w:rPr>
          <w:color w:val="0B0B0B"/>
        </w:rPr>
        <w:t xml:space="preserve">Уровни ACARI/ALRI и их составляющих привязаны к </w:t>
      </w:r>
      <w:r>
        <w:rPr>
          <w:b/>
          <w:color w:val="0B0B0B"/>
        </w:rPr>
        <w:t>регуляторным</w:t>
      </w:r>
      <w:r>
        <w:rPr>
          <w:color w:val="0B0B0B"/>
        </w:rPr>
        <w:t xml:space="preserve"> требованиям: их пробой</w:t>
      </w:r>
    </w:p>
    <w:p>
      <w:pPr>
        <w:jc w:val="both"/>
      </w:pPr>
      <w:r>
        <w:rPr>
          <w:color w:val="0B0B0B"/>
        </w:rPr>
        <w:t xml:space="preserve">обслуживается пруденциальным режимом. Лимиты по кредитным метрикам — </w:t>
      </w:r>
      <w:r>
        <w:rPr>
          <w:b/>
          <w:color w:val="0B0B0B"/>
        </w:rPr>
        <w:t>внутренние</w:t>
      </w:r>
      <w:r>
        <w:rPr>
          <w:color w:val="0B0B0B"/>
        </w:rPr>
        <w:t>, регулятору не направляются.</w:t>
      </w:r>
    </w:p>
    <w:p>
      <w:pPr>
        <w:pStyle w:val="Heading3"/>
      </w:pPr>
      <w:r>
        <w:t>2.3 Открытые гипотезы и дефекты, не снятые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Что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Вес для решения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Д15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Чем является ряд CoR: записка называет его «текущим годовым уровнем», это исключает «месячный расход», но остаются YTD-annualized и LTM. CoR </w:t>
            </w:r>
            <w:r>
              <w:rPr>
                <w:b/>
                <w:color w:val="0B0B0B"/>
              </w:rPr>
              <w:t>не имеет формулы ни на одном листе</w:t>
            </w:r>
            <w:r>
              <w:rPr>
                <w:color w:val="0B0B0B"/>
              </w:rPr>
              <w:t xml:space="preserve"> формы 50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блокирует разметку обеих метрик CoR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Г17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Уровень 95 % поставлен примерно на </w:t>
            </w:r>
            <w:r>
              <w:rPr>
                <w:b/>
                <w:color w:val="0B0B0B"/>
              </w:rPr>
              <w:t>7 σ</w:t>
            </w:r>
            <w:r>
              <w:rPr>
                <w:color w:val="0B0B0B"/>
              </w:rPr>
              <w:t xml:space="preserve"> выше тогдашнего максимума 80,55 % — калибровка «от факта плюс запас»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единственный восстановленный из 25 лимитов, и он восстановлен как произвольный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Г42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Лимит CoR по МСБ в одной книге: 3,5 % (50-1) и 3,3 % (50-2)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какое число утверждено — неизвестно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Г43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Четыре ячейки действующего отчёта возвращают </w:t>
            </w:r>
            <w:r>
              <w:rPr>
                <w:rFonts w:ascii="Consolas" w:hAnsi="Consolas"/>
                <w:color w:val="0B0B0B"/>
                <w:sz w:val="19"/>
              </w:rPr>
              <w:t>#VALUE!</w:t>
            </w:r>
            <w:r>
              <w:rPr>
                <w:color w:val="0B0B0B"/>
              </w:rPr>
              <w:t>; лимит разбирается обрезкой текста и ломается на первой десятичной запятой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отчёт выносится на УО с ошибками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Г44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Лимит HLA записан тремя числами: 20 % (форма), 25 % (записка), 25 % (граница красной)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запас по HLA недоказуем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Г45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Вывод листа 50-2 называет 5,10 % против 5,0150 % в собственной ячейке и продукт, которого в перечне нет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Г36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σ по CoR не однородна по календарю: 5,04 и 4,86 против ≤ 1,76 у остальных десяти. Причина </w:t>
            </w:r>
            <w:r>
              <w:rPr>
                <w:b/>
                <w:color w:val="0B0B0B"/>
              </w:rPr>
              <w:t>не установлена</w:t>
            </w:r>
            <w:r>
              <w:rPr>
                <w:color w:val="0B0B0B"/>
              </w:rPr>
              <w:t>, версий три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зоны CoR недействительны при любой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Цепочка каскада: целиком есть </w:t>
            </w:r>
            <w:r>
              <w:rPr>
                <w:b/>
                <w:color w:val="0B0B0B"/>
              </w:rPr>
              <w:t>одно звено из шести</w:t>
            </w:r>
            <w:r>
              <w:rPr>
                <w:color w:val="0B0B0B"/>
              </w:rPr>
              <w:t xml:space="preserve"> (лимит); звенья 1 (риск-ёмкость), 4 и 5 отсутствуют; происхождение восстановлено для </w:t>
            </w:r>
            <w:r>
              <w:rPr>
                <w:b/>
                <w:color w:val="0B0B0B"/>
              </w:rPr>
              <w:t>одного лимита из 25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это и есть предмет части В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Из двенадцати позиций рамки по FSB шесть отсутствуют: риск-ёмкость, заявление как документ, индикаторы раннего предупреждения, протокол эскалации, каскадирование, обратное стресс-тестирование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там же</w:t>
            </w:r>
          </w:p>
        </w:tc>
      </w:tr>
    </w:tbl>
    <w:p/>
    <w:p>
      <w:pPr>
        <w:pStyle w:val="Heading2"/>
      </w:pPr>
      <w:r>
        <w:t>3. Задача целиком: четыре слоя одного вопроса</w:t>
      </w:r>
    </w:p>
    <w:p>
      <w:pPr>
        <w:jc w:val="both"/>
      </w:pPr>
      <w:r>
        <w:rPr>
          <w:color w:val="0B0B0B"/>
        </w:rPr>
        <w:t xml:space="preserve">Слои упорядочены снизу вверх. </w:t>
      </w:r>
      <w:r>
        <w:rPr>
          <w:b/>
          <w:color w:val="0B0B0B"/>
        </w:rPr>
        <w:t>Нижний слой может обесценить верхний, обратное неверно.</w:t>
      </w:r>
    </w:p>
    <w:p>
      <w:pPr>
        <w:spacing w:after="0"/>
      </w:pPr>
      <w:r>
        <w:rPr>
          <w:rFonts w:ascii="Consolas" w:hAnsi="Consolas"/>
          <w:sz w:val="18"/>
        </w:rPr>
        <w:t xml:space="preserve">   Г  воспроизводимость   инструмент зонирования, ежегодная перекалибровка</w:t>
      </w:r>
    </w:p>
    <w:p>
      <w:pPr>
        <w:spacing w:after="0"/>
      </w:pPr>
      <w:r>
        <w:rPr>
          <w:rFonts w:ascii="Consolas" w:hAnsi="Consolas"/>
          <w:sz w:val="18"/>
        </w:rPr>
        <w:t xml:space="preserve">   ↑</w:t>
      </w:r>
    </w:p>
    <w:p>
      <w:pPr>
        <w:spacing w:after="0"/>
      </w:pPr>
      <w:r>
        <w:rPr>
          <w:rFonts w:ascii="Consolas" w:hAnsi="Consolas"/>
          <w:sz w:val="18"/>
        </w:rPr>
        <w:t xml:space="preserve">   В  рамка               управляет ли система риском вообще</w:t>
      </w:r>
    </w:p>
    <w:p>
      <w:pPr>
        <w:spacing w:after="0"/>
      </w:pPr>
      <w:r>
        <w:rPr>
          <w:rFonts w:ascii="Consolas" w:hAnsi="Consolas"/>
          <w:sz w:val="18"/>
        </w:rPr>
        <w:t xml:space="preserve">   ↑</w:t>
      </w:r>
    </w:p>
    <w:p>
      <w:pPr>
        <w:spacing w:after="0"/>
      </w:pPr>
      <w:r>
        <w:rPr>
          <w:rFonts w:ascii="Consolas" w:hAnsi="Consolas"/>
          <w:sz w:val="18"/>
        </w:rPr>
        <w:t xml:space="preserve">   Б  механизм            зоны, триггеры, меры реагирования</w:t>
      </w:r>
    </w:p>
    <w:p>
      <w:pPr>
        <w:spacing w:after="0"/>
      </w:pPr>
      <w:r>
        <w:rPr>
          <w:rFonts w:ascii="Consolas" w:hAnsi="Consolas"/>
          <w:sz w:val="18"/>
        </w:rPr>
        <w:t xml:space="preserve">   ↑</w:t>
      </w:r>
    </w:p>
    <w:p>
      <w:pPr>
        <w:spacing w:after="0"/>
      </w:pPr>
      <w:r>
        <w:rPr>
          <w:rFonts w:ascii="Consolas" w:hAnsi="Consolas"/>
          <w:sz w:val="18"/>
        </w:rPr>
        <w:t xml:space="preserve">   А  основание           то, что мы измеряем, — держится ли оно</w:t>
      </w:r>
    </w:p>
    <w:p>
      <w:pPr>
        <w:pStyle w:val="Heading3"/>
      </w:pPr>
      <w:r>
        <w:t>3.1 Слой А — основание измерения</w:t>
      </w:r>
    </w:p>
    <w:p>
      <w:pPr>
        <w:jc w:val="both"/>
      </w:pPr>
      <w:r>
        <w:rPr>
          <w:b/>
          <w:color w:val="0B0B0B"/>
        </w:rPr>
        <w:t>Вопрос:</w:t>
      </w:r>
      <w:r>
        <w:rPr>
          <w:color w:val="0B0B0B"/>
        </w:rPr>
        <w:t xml:space="preserve"> можно ли доверять числам, на которых стоит весь светофор.</w:t>
      </w:r>
    </w:p>
    <w:p>
      <w:pPr>
        <w:jc w:val="both"/>
      </w:pPr>
      <w:r>
        <w:rPr>
          <w:b/>
          <w:color w:val="0B0B0B"/>
        </w:rPr>
        <w:t>Состояние: слой вскрыт и частично обрушен.</w:t>
      </w:r>
      <w:r>
        <w:rPr>
          <w:color w:val="0B0B0B"/>
        </w:rPr>
        <w:t xml:space="preserve"> Г46 показывает, что метрика, вокруг которой построена вся работа, делится на капитал, отличный от того, которым пользуется остальной отчёт. Г42–Г45 показывают, что и остальные числа формы несут противоречия и ошибки. Д15 — что CoR не имеет формулы нигде.</w:t>
      </w:r>
    </w:p>
    <w:p>
      <w:pPr>
        <w:jc w:val="both"/>
      </w:pPr>
      <w:r>
        <w:rPr>
          <w:b/>
          <w:color w:val="0B0B0B"/>
        </w:rPr>
        <w:t>Что делать:</w:t>
      </w:r>
    </w:p>
    <w:p>
      <w:pPr>
        <w:pStyle w:val="ListNumber"/>
      </w:pPr>
      <w:r>
        <w:rPr>
          <w:color w:val="0B0B0B"/>
        </w:rPr>
        <w:t>Закрыть В56 — какой собственный капитал предусмотрен для метрики концентрации.</w:t>
      </w:r>
    </w:p>
    <w:p>
      <w:pPr>
        <w:pStyle w:val="ListNumber"/>
      </w:pPr>
      <w:r>
        <w:rPr>
          <w:color w:val="0B0B0B"/>
        </w:rPr>
        <w:t>Закрыть В42 и Д15 — формула CoR и природа ряда.</w:t>
      </w:r>
    </w:p>
    <w:p>
      <w:pPr>
        <w:pStyle w:val="ListNumber"/>
      </w:pPr>
      <w:r>
        <w:rPr>
          <w:color w:val="0B0B0B"/>
        </w:rPr>
        <w:t>Закрыть В53, В54 — какие лимиты утверждены по CoR МСБ и по HLA.</w:t>
      </w:r>
    </w:p>
    <w:p>
      <w:pPr>
        <w:pStyle w:val="ListNumber"/>
      </w:pPr>
      <w:r>
        <w:rPr>
          <w:color w:val="0B0B0B"/>
        </w:rPr>
        <w:t>Внести Г43 владельцу отчёта как дефект расчёта, а не как замечание к оформлению.</w:t>
      </w:r>
    </w:p>
    <w:p>
      <w:pPr>
        <w:pStyle w:val="ListNumber"/>
      </w:pPr>
      <w:r>
        <w:rPr>
          <w:b/>
          <w:color w:val="0B0B0B"/>
        </w:rPr>
        <w:t>Отдельным PR по контуру `provisions_method`</w:t>
      </w:r>
      <w:r>
        <w:rPr>
          <w:color w:val="0B0B0B"/>
        </w:rPr>
        <w:t xml:space="preserve"> — два дефекта рейтинговых моделей:</w:t>
      </w:r>
    </w:p>
    <w:p>
      <w:pPr>
        <w:jc w:val="both"/>
      </w:pPr>
      <w:r>
        <w:rPr>
          <w:color w:val="0B0B0B"/>
        </w:rPr>
        <w:t>дыра (4,49; 5,00) в шкале заёмщика и перекрытие [8,00; 8,99] в шкале сделки. Проверить против формулы подстановки в Приложении № 5.15.</w:t>
      </w:r>
    </w:p>
    <w:p>
      <w:pPr>
        <w:jc w:val="both"/>
      </w:pPr>
      <w:r>
        <w:rPr>
          <w:b/>
          <w:color w:val="0B0B0B"/>
        </w:rPr>
        <w:t>Что уже закрыто:</w:t>
      </w:r>
      <w:r>
        <w:rPr>
          <w:color w:val="0B0B0B"/>
        </w:rPr>
        <w:t xml:space="preserve"> Г37, В51, В52 — мастер-шкала расшифрована, база общая с провизиями, специфично для аппетита только отсечение. Пивот по основанию «аппетит измеряет то, чем нигде не управляют» </w:t>
      </w:r>
      <w:r>
        <w:rPr>
          <w:b/>
          <w:color w:val="0B0B0B"/>
        </w:rPr>
        <w:t>опровергнут</w:t>
      </w:r>
      <w:r>
        <w:rPr>
          <w:color w:val="0B0B0B"/>
        </w:rPr>
        <w:t>.</w:t>
      </w:r>
    </w:p>
    <w:p>
      <w:pPr>
        <w:pStyle w:val="Heading3"/>
      </w:pPr>
      <w:r>
        <w:t>3.2 Слой Б — механизм</w:t>
      </w:r>
    </w:p>
    <w:p>
      <w:pPr>
        <w:jc w:val="both"/>
      </w:pPr>
      <w:r>
        <w:rPr>
          <w:b/>
          <w:color w:val="0B0B0B"/>
        </w:rPr>
        <w:t>Вопрос:</w:t>
      </w:r>
      <w:r>
        <w:rPr>
          <w:color w:val="0B0B0B"/>
        </w:rPr>
        <w:t xml:space="preserve"> если метрика верна, ловит ли конструкция ухудшение вовремя и известно ли, что делать при срабатывании.</w:t>
      </w:r>
    </w:p>
    <w:p>
      <w:pPr>
        <w:jc w:val="both"/>
      </w:pPr>
      <w:r>
        <w:rPr>
          <w:b/>
          <w:color w:val="0B0B0B"/>
        </w:rPr>
        <w:t>Состояние: собран, проверен, ждёт содержания мер.</w:t>
      </w:r>
      <w:r>
        <w:rPr>
          <w:color w:val="0B0B0B"/>
        </w:rPr>
        <w:t xml:space="preserve"> Четыре состояния, два триггера, 16 случаев, пять уровней реагирования, пять правил перехода — </w:t>
      </w:r>
      <w:r>
        <w:rPr>
          <w:rFonts w:ascii="Consolas" w:hAnsi="Consolas"/>
          <w:color w:val="0B0B0B"/>
          <w:sz w:val="19"/>
        </w:rPr>
        <w:t>MEASURES_FSM.md</w:t>
      </w:r>
      <w:r>
        <w:rPr>
          <w:color w:val="0B0B0B"/>
        </w:rPr>
        <w:t>. Машина прогнана назад по 36 месяцам. Триггеры проверены и оказались не дублирующими зону.</w:t>
      </w:r>
    </w:p>
    <w:p>
      <w:pPr>
        <w:jc w:val="both"/>
      </w:pPr>
      <w:r>
        <w:rPr>
          <w:b/>
          <w:color w:val="0B0B0B"/>
        </w:rPr>
        <w:t>Что делать:</w:t>
      </w:r>
    </w:p>
    <w:p>
      <w:pPr>
        <w:pStyle w:val="ListNumber"/>
      </w:pPr>
      <w:r>
        <w:rPr>
          <w:color w:val="0B0B0B"/>
        </w:rPr>
        <w:t xml:space="preserve">Sabila наполняет R0…R4 мерами из действующих процедур (форма — § 8 </w:t>
      </w:r>
      <w:r>
        <w:rPr>
          <w:rFonts w:ascii="Consolas" w:hAnsi="Consolas"/>
          <w:color w:val="0B0B0B"/>
          <w:sz w:val="19"/>
        </w:rPr>
        <w:t>MEASURES_FSM.md</w:t>
      </w:r>
      <w:r>
        <w:rPr>
          <w:color w:val="0B0B0B"/>
        </w:rPr>
        <w:t>).</w:t>
      </w:r>
    </w:p>
    <w:p>
      <w:pPr>
        <w:jc w:val="both"/>
      </w:pPr>
      <w:r>
        <w:rPr>
          <w:color w:val="0B0B0B"/>
        </w:rPr>
        <w:t>Там, где процедуры нет, так и фиксируется: это отдельный результат.</w:t>
      </w:r>
    </w:p>
    <w:p>
      <w:pPr>
        <w:pStyle w:val="ListNumber"/>
      </w:pPr>
      <w:r>
        <w:rPr>
          <w:color w:val="0B0B0B"/>
        </w:rPr>
        <w:t>Решения автора: Д-19 (триггеры по варианту A или ждать разложения), Д-20 (N гистерезиса),</w:t>
      </w:r>
    </w:p>
    <w:p>
      <w:pPr>
        <w:jc w:val="both"/>
      </w:pPr>
      <w:r>
        <w:rPr>
          <w:color w:val="0B0B0B"/>
        </w:rPr>
        <w:t>порог панельного правила, уведомляется ли АРРФР при нарушении.</w:t>
      </w:r>
    </w:p>
    <w:p>
      <w:pPr>
        <w:pStyle w:val="ListNumber"/>
      </w:pPr>
      <w:r>
        <w:rPr>
          <w:color w:val="0B0B0B"/>
        </w:rPr>
        <w:t>Записка v0.6 — собирает слои А и Б в изложение для УО. Сторилайн и слайды готовы</w:t>
      </w:r>
    </w:p>
    <w:p>
      <w:pPr>
        <w:jc w:val="both"/>
      </w:pPr>
      <w:r>
        <w:rPr>
          <w:color w:val="0B0B0B"/>
        </w:rPr>
        <w:t>(</w:t>
      </w:r>
      <w:r>
        <w:rPr>
          <w:rFonts w:ascii="Consolas" w:hAnsi="Consolas"/>
          <w:color w:val="0B0B0B"/>
          <w:sz w:val="19"/>
        </w:rPr>
        <w:t>PRESENTATION_LINE.md</w:t>
      </w:r>
      <w:r>
        <w:rPr>
          <w:color w:val="0B0B0B"/>
        </w:rPr>
        <w:t>, 16 слайдов), доказательная часть — из § 2 настоящего документа.</w:t>
      </w:r>
    </w:p>
    <w:p>
      <w:pPr>
        <w:pStyle w:val="ListNumber"/>
      </w:pPr>
      <w:r>
        <w:rPr>
          <w:color w:val="0B0B0B"/>
        </w:rPr>
        <w:t>Донастройка триггеров: сегодня их порог равен буферу, то есть девятому децилю ходов.</w:t>
      </w:r>
    </w:p>
    <w:p>
      <w:pPr>
        <w:jc w:val="both"/>
      </w:pPr>
      <w:r>
        <w:rPr>
          <w:color w:val="0B0B0B"/>
        </w:rPr>
        <w:t>Проверить, у скольких метрик знаменатель доступен в месячном ряде — для них триггер строится на компонентах, как у топ-20, и перестаёт быть счётчиком частоты.</w:t>
      </w:r>
    </w:p>
    <w:p>
      <w:pPr>
        <w:pStyle w:val="Heading3"/>
      </w:pPr>
      <w:r>
        <w:t>3.3 Слой В — рамка</w:t>
      </w:r>
    </w:p>
    <w:p>
      <w:pPr>
        <w:jc w:val="both"/>
      </w:pPr>
      <w:r>
        <w:rPr>
          <w:b/>
          <w:color w:val="0B0B0B"/>
        </w:rPr>
        <w:t>Вопрос:</w:t>
      </w:r>
      <w:r>
        <w:rPr>
          <w:color w:val="0B0B0B"/>
        </w:rPr>
        <w:t xml:space="preserve"> управляет ли система риском, или воспроизводит отчётность о нём.</w:t>
      </w:r>
    </w:p>
    <w:p>
      <w:pPr>
        <w:jc w:val="both"/>
      </w:pPr>
      <w:r>
        <w:rPr>
          <w:b/>
          <w:color w:val="0B0B0B"/>
        </w:rPr>
        <w:t>Состояние: материал собран, оценка не написана.</w:t>
      </w:r>
      <w:r>
        <w:rPr>
          <w:color w:val="0B0B0B"/>
        </w:rPr>
        <w:t xml:space="preserve"> Это тот самый качественный слой, ради которого Дамир и ставил задачу.</w:t>
      </w:r>
    </w:p>
    <w:p>
      <w:pPr>
        <w:jc w:val="both"/>
      </w:pPr>
      <w:r>
        <w:rPr>
          <w:b/>
          <w:color w:val="0B0B0B"/>
        </w:rPr>
        <w:t>Что делать:</w:t>
      </w:r>
    </w:p>
    <w:p>
      <w:pPr>
        <w:pStyle w:val="ListNumber"/>
      </w:pPr>
      <w:r>
        <w:rPr>
          <w:color w:val="0B0B0B"/>
        </w:rPr>
        <w:t>Оценить двенадцать позиций рамки по FSB *Principles for an Effective Risk Appetite</w:t>
      </w:r>
    </w:p>
    <w:p>
      <w:pPr>
        <w:jc w:val="both"/>
      </w:pPr>
      <w:r>
        <w:rPr>
          <w:color w:val="0B0B0B"/>
        </w:rPr>
        <w:t xml:space="preserve">Framework* (18.11.2013) и по четырём прочитанным юрисдикциям (HKMA CR-G-8 / IC-1 / IC-5, MAS, PRA SS31/15, 12 CFR ч. 30 прил. D, Указание Банка России № 3624-У). Шкала — </w:t>
      </w:r>
      <w:r>
        <w:rPr>
          <w:b/>
          <w:color w:val="0B0B0B"/>
        </w:rPr>
        <w:t>есть / есть с оговоркой / отсутствует</w:t>
      </w:r>
      <w:r>
        <w:rPr>
          <w:color w:val="0B0B0B"/>
        </w:rPr>
        <w:t>, к каждой оценке обязательна ссылка на доказательство. Баллы 1–5 не использовать: они выглядят измерением, не будучи им.</w:t>
      </w:r>
    </w:p>
    <w:p>
      <w:pPr>
        <w:pStyle w:val="ListNumber"/>
      </w:pPr>
      <w:r>
        <w:rPr>
          <w:color w:val="0B0B0B"/>
        </w:rPr>
        <w:t>Профиль Банка и якорные продукты → какие метрики обязаны быть под частым наблюдением.</w:t>
      </w:r>
    </w:p>
    <w:p>
      <w:pPr>
        <w:jc w:val="both"/>
      </w:pPr>
      <w:r>
        <w:rPr>
          <w:color w:val="0B0B0B"/>
        </w:rPr>
        <w:t>Требует входа автора: доли продуктов в портфеле и в процентном доходе (Д-21).</w:t>
      </w:r>
    </w:p>
    <w:p>
      <w:pPr>
        <w:pStyle w:val="ListNumber"/>
      </w:pPr>
      <w:r>
        <w:rPr>
          <w:color w:val="0B0B0B"/>
        </w:rPr>
        <w:t>Стыковка с остальным управленческим контуром: ВПОДК, стресс-тест, провизии, бюджет.</w:t>
      </w:r>
    </w:p>
    <w:p>
      <w:pPr>
        <w:jc w:val="both"/>
      </w:pPr>
      <w:r>
        <w:rPr>
          <w:color w:val="0B0B0B"/>
        </w:rPr>
        <w:t xml:space="preserve">Три проверяемых вопроса с последствиями — считается ли экономический капитал; выражен ли стресс-тест в метриках заявления; входит ли рейтинг в стадии (последний </w:t>
      </w:r>
      <w:r>
        <w:rPr>
          <w:b/>
          <w:color w:val="0B0B0B"/>
        </w:rPr>
        <w:t>закрыт</w:t>
      </w:r>
      <w:r>
        <w:rPr>
          <w:color w:val="0B0B0B"/>
        </w:rPr>
        <w:t>: входит, опосредованно).</w:t>
      </w:r>
    </w:p>
    <w:p>
      <w:pPr>
        <w:pStyle w:val="ListNumber"/>
      </w:pPr>
      <w:r>
        <w:rPr>
          <w:b/>
          <w:color w:val="0B0B0B"/>
        </w:rPr>
        <w:t>Взгляд собственника — через обратный стресс, а не через интонацию.</w:t>
      </w:r>
      <w:r>
        <w:rPr>
          <w:color w:val="0B0B0B"/>
        </w:rPr>
        <w:t xml:space="preserve"> Единственный</w:t>
      </w:r>
    </w:p>
    <w:p>
      <w:pPr>
        <w:jc w:val="both"/>
      </w:pPr>
      <w:r>
        <w:rPr>
          <w:color w:val="0B0B0B"/>
        </w:rPr>
        <w:t>способ дать звену 1 число, которого у нас нет: не «оцени сценарий», а «найди сценарий, при котором Банк перестаёт быть жизнеспособным». По топ-20 это уже посчитано (6,56 % против фактических −19,66 %), по пяти метрикам PD — тоже. Распространить на остальные.</w:t>
      </w:r>
    </w:p>
    <w:p>
      <w:pPr>
        <w:pStyle w:val="ListNumber"/>
      </w:pPr>
      <w:r>
        <w:rPr>
          <w:color w:val="0B0B0B"/>
        </w:rPr>
        <w:t xml:space="preserve">Отдельным блоком — </w:t>
      </w:r>
      <w:r>
        <w:rPr>
          <w:b/>
          <w:color w:val="0B0B0B"/>
        </w:rPr>
        <w:t>Г41</w:t>
      </w:r>
      <w:r>
        <w:rPr>
          <w:color w:val="0B0B0B"/>
        </w:rPr>
        <w:t>: агрегаты ACARI и ALRI не обнаруживают обнуления собственной</w:t>
      </w:r>
    </w:p>
    <w:p>
      <w:pPr>
        <w:jc w:val="both"/>
      </w:pPr>
      <w:r>
        <w:rPr>
          <w:color w:val="0B0B0B"/>
        </w:rPr>
        <w:t>компоненты. Это прямой ответ на вопрос «объективно ли рамка измеряет» по двум метрикам из 25, и ответ отрицательный. Способ агрегирования не наследовать.</w:t>
      </w:r>
    </w:p>
    <w:p>
      <w:pPr>
        <w:pStyle w:val="Heading3"/>
      </w:pPr>
      <w:r>
        <w:t>3.4 Слой Г — воспроизводимость</w:t>
      </w:r>
    </w:p>
    <w:p>
      <w:pPr>
        <w:jc w:val="both"/>
      </w:pPr>
      <w:r>
        <w:rPr>
          <w:b/>
          <w:color w:val="0B0B0B"/>
        </w:rPr>
        <w:t>Вопрос:</w:t>
      </w:r>
      <w:r>
        <w:rPr>
          <w:color w:val="0B0B0B"/>
        </w:rPr>
        <w:t xml:space="preserve"> можно ли передать метод другим и повторять его ежегодно, не теряя оговорок.</w:t>
      </w:r>
    </w:p>
    <w:p>
      <w:pPr>
        <w:jc w:val="both"/>
      </w:pPr>
      <w:r>
        <w:rPr>
          <w:b/>
          <w:color w:val="0B0B0B"/>
        </w:rPr>
        <w:t>Состояние: структура согласована, код не написан.</w:t>
      </w:r>
    </w:p>
    <w:p>
      <w:pPr>
        <w:jc w:val="both"/>
      </w:pPr>
      <w:r>
        <w:rPr>
          <w:b/>
          <w:color w:val="0B0B0B"/>
        </w:rPr>
        <w:t>Что делать:</w:t>
      </w:r>
    </w:p>
    <w:p>
      <w:pPr>
        <w:pStyle w:val="ListNumber"/>
      </w:pPr>
      <w:r>
        <w:rPr>
          <w:color w:val="0B0B0B"/>
        </w:rPr>
        <w:t xml:space="preserve">Инструмент зонирования по кредитным метрикам БРМ. Переключатель — </w:t>
      </w:r>
      <w:r>
        <w:rPr>
          <w:b/>
          <w:color w:val="0B0B0B"/>
        </w:rPr>
        <w:t>не по нормальности</w:t>
      </w:r>
      <w:r>
        <w:rPr>
          <w:color w:val="0B0B0B"/>
        </w:rPr>
        <w:t>:</w:t>
      </w:r>
    </w:p>
    <w:p>
      <w:pPr>
        <w:jc w:val="both"/>
      </w:pPr>
      <w:r>
        <w:rPr>
          <w:color w:val="0B0B0B"/>
        </w:rPr>
        <w:t>вырожденность (</w:t>
      </w:r>
      <w:r>
        <w:rPr>
          <w:rFonts w:ascii="Consolas" w:hAnsi="Consolas"/>
          <w:color w:val="0B0B0B"/>
          <w:sz w:val="19"/>
        </w:rPr>
        <w:t>M(4) ≥ L − факт</w:t>
      </w:r>
      <w:r>
        <w:rPr>
          <w:color w:val="0B0B0B"/>
        </w:rPr>
        <w:t>) → достаточность (</w:t>
      </w:r>
      <w:r>
        <w:rPr>
          <w:rFonts w:ascii="Consolas" w:hAnsi="Consolas"/>
          <w:color w:val="0B0B0B"/>
          <w:sz w:val="19"/>
        </w:rPr>
        <w:t>z·σ·√T</w:t>
      </w:r>
      <w:r>
        <w:rPr>
          <w:color w:val="0B0B0B"/>
        </w:rPr>
        <w:t xml:space="preserve"> против эмпирического квантиля) → нормальность только как диагностика в отчёте. Порядок и обоснование — </w:t>
      </w:r>
      <w:r>
        <w:rPr>
          <w:rFonts w:ascii="Consolas" w:hAnsi="Consolas"/>
          <w:color w:val="0B0B0B"/>
          <w:sz w:val="19"/>
        </w:rPr>
        <w:t>PLAN_S3.md</w:t>
      </w:r>
      <w:r>
        <w:rPr>
          <w:color w:val="0B0B0B"/>
        </w:rPr>
        <w:t xml:space="preserve"> § 4.2.</w:t>
      </w:r>
    </w:p>
    <w:p>
      <w:pPr>
        <w:pStyle w:val="ListNumber"/>
      </w:pPr>
      <w:r>
        <w:rPr>
          <w:color w:val="0B0B0B"/>
        </w:rPr>
        <w:t>Три теста, не шесть: Шапиро — Уилк (мощность при n &lt; 50), Андерсон — Дарлинг (хвосты),</w:t>
      </w:r>
    </w:p>
    <w:p>
      <w:pPr>
        <w:jc w:val="both"/>
      </w:pPr>
      <w:r>
        <w:rPr>
          <w:color w:val="0B0B0B"/>
        </w:rPr>
        <w:t>Харке — Бера (направление отклонения). Инструмент обязан печатать, что при n = 35 непрохождение значимо, а прохождение — нет.</w:t>
      </w:r>
    </w:p>
    <w:p>
      <w:pPr>
        <w:pStyle w:val="ListNumber"/>
      </w:pPr>
      <w:r>
        <w:rPr>
          <w:color w:val="0B0B0B"/>
        </w:rPr>
        <w:t xml:space="preserve">Ежегодная перекалибровка на скользящем окне 36 месяцев </w:t>
      </w:r>
      <w:r>
        <w:rPr>
          <w:b/>
          <w:color w:val="0B0B0B"/>
        </w:rPr>
        <w:t>со стрессовым полом</w:t>
      </w:r>
      <w:r>
        <w:rPr>
          <w:color w:val="0B0B0B"/>
        </w:rPr>
        <w:t>:</w:t>
      </w:r>
    </w:p>
    <w:p>
      <w:pPr>
        <w:jc w:val="both"/>
      </w:pPr>
      <w:r>
        <w:rPr>
          <w:color w:val="0B0B0B"/>
        </w:rPr>
        <w:t>σ = max(σ скользящего; σ фиксированного стрессового окна). Без пола перекалибровка процикличн: сужает зоны после спокойного года и расширяет после кризисного.</w:t>
      </w:r>
    </w:p>
    <w:p>
      <w:pPr>
        <w:pStyle w:val="ListNumber"/>
      </w:pPr>
      <w:r>
        <w:rPr>
          <w:color w:val="0B0B0B"/>
        </w:rPr>
        <w:t>Проверка покрытия за прошедший год — Купик (доля) и Кристофферсен (независимость,</w:t>
      </w:r>
    </w:p>
    <w:p>
      <w:pPr>
        <w:jc w:val="both"/>
      </w:pPr>
      <w:r>
        <w:rPr>
          <w:color w:val="0B0B0B"/>
        </w:rPr>
        <w:t>ловит кластеризацию). Оба на 12 наблюдениях слабы; это надо печатать прямо.</w:t>
      </w:r>
    </w:p>
    <w:p>
      <w:pPr>
        <w:pStyle w:val="ListNumber"/>
      </w:pPr>
      <w:r>
        <w:rPr>
          <w:b/>
          <w:color w:val="0B0B0B"/>
        </w:rPr>
        <w:t>Критерий приёмки:</w:t>
      </w:r>
      <w:r>
        <w:rPr>
          <w:color w:val="0B0B0B"/>
        </w:rPr>
        <w:t xml:space="preserve"> инструмент, прогнанный на наших двенадцати метриках, обязан</w:t>
      </w:r>
    </w:p>
    <w:p>
      <w:pPr>
        <w:jc w:val="both"/>
      </w:pPr>
      <w:r>
        <w:rPr>
          <w:color w:val="0B0B0B"/>
        </w:rPr>
        <w:t>воспроизвести уже согласованную разметку книги v1.8. Не воспроизводит — неверен.</w:t>
      </w:r>
    </w:p>
    <w:p>
      <w:pPr>
        <w:pStyle w:val="Heading2"/>
      </w:pPr>
      <w:r>
        <w:t>4. Что должно получиться</w:t>
      </w:r>
    </w:p>
    <w:p>
      <w:pPr>
        <w:pStyle w:val="Heading3"/>
      </w:pPr>
      <w:r>
        <w:t>4.1 Решение, которое выносится</w:t>
      </w:r>
    </w:p>
    <w:p>
      <w:pPr>
        <w:jc w:val="both"/>
      </w:pPr>
      <w:r>
        <w:rPr>
          <w:color w:val="0B0B0B"/>
        </w:rPr>
        <w:t>Три варианта, и пакет обязан дать основание для выбора между ними, а не подвести к одному: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Вариант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Когда он верен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Цена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Актуализация</w:t>
            </w:r>
            <w:r>
              <w:rPr>
                <w:color w:val="0B0B0B"/>
              </w:rPr>
              <w:t xml:space="preserve"> — рамка устроена верно, неверны отдельные числа и процедуры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если слой А чинится ответами на В56, В42, В53, В54, а слой В показывает «есть с оговоркой» по большинству позиций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правки формы, регламент мер, регулярная перекалибровка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Достройка</w:t>
            </w:r>
            <w:r>
              <w:rPr>
                <w:color w:val="0B0B0B"/>
              </w:rPr>
              <w:t xml:space="preserve"> — рамка неполна: звенья 1, 4, 5 отсутствуют, и их надо построить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если оценка по FSB подтверждает отсутствие шести позиций из двенадцати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риск-ёмкость через обратный стресс, протокол эскалации, каскадирование, EWI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Пивот</w:t>
            </w:r>
            <w:r>
              <w:rPr>
                <w:color w:val="0B0B0B"/>
              </w:rPr>
              <w:t xml:space="preserve"> — рамка воспроизводит отчётность, а не управляет риском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если окажется, что метрики не связаны с решениями, а лимиты не сработали ни разу и не могли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пересмотр состава метрик и уровней, новая редакция Политики</w:t>
            </w:r>
          </w:p>
        </w:tc>
      </w:tr>
    </w:tbl>
    <w:p/>
    <w:p>
      <w:pPr>
        <w:jc w:val="both"/>
      </w:pPr>
      <w:r>
        <w:rPr>
          <w:b/>
          <w:color w:val="0B0B0B"/>
        </w:rPr>
        <w:t>Сегодняшняя оценка, и её надо будет либо подтвердить, либо снять:</w:t>
      </w:r>
      <w:r>
        <w:rPr>
          <w:color w:val="0B0B0B"/>
        </w:rPr>
        <w:t xml:space="preserve"> вариант 3 по основанию «аппетит измеряет то, чем нигде не управляют» </w:t>
      </w:r>
      <w:r>
        <w:rPr>
          <w:b/>
          <w:color w:val="0B0B0B"/>
        </w:rPr>
        <w:t>уже опровергнут</w:t>
      </w:r>
      <w:r>
        <w:rPr>
          <w:color w:val="0B0B0B"/>
        </w:rPr>
        <w:t xml:space="preserve"> — мастер-шкала общая с провизиями. Наиболее вероятен </w:t>
      </w:r>
      <w:r>
        <w:rPr>
          <w:b/>
          <w:color w:val="0B0B0B"/>
        </w:rPr>
        <w:t>вариант 2</w:t>
      </w:r>
      <w:r>
        <w:rPr>
          <w:color w:val="0B0B0B"/>
        </w:rPr>
        <w:t>: шесть позиций рамки из двенадцати отсутствуют, и это не дефекты чисел, а отсутствующие части конструкции.</w:t>
      </w:r>
    </w:p>
    <w:p>
      <w:pPr>
        <w:pStyle w:val="Heading3"/>
      </w:pPr>
      <w:r>
        <w:t>4.2 Состав пакета</w:t>
      </w:r>
    </w:p>
    <w:p>
      <w:pPr>
        <w:pStyle w:val="ListNumber"/>
      </w:pPr>
      <w:r>
        <w:rPr>
          <w:b/>
          <w:color w:val="0B0B0B"/>
        </w:rPr>
        <w:t>Аналитическая записка v0.6</w:t>
      </w:r>
      <w:r>
        <w:rPr>
          <w:color w:val="0B0B0B"/>
        </w:rPr>
        <w:t xml:space="preserve"> — изложение для УО: что измеряем, как размечено, что нашли.</w:t>
      </w:r>
    </w:p>
    <w:p>
      <w:pPr>
        <w:pStyle w:val="ListNumber"/>
      </w:pPr>
      <w:r>
        <w:rPr>
          <w:b/>
          <w:color w:val="0B0B0B"/>
        </w:rPr>
        <w:t>Расчётный лист v1.9</w:t>
      </w:r>
      <w:r>
        <w:rPr>
          <w:color w:val="0B0B0B"/>
        </w:rPr>
        <w:t xml:space="preserve"> — числа с формулами и самопроверкой (v1.8 приземлена, обновить</w:t>
      </w:r>
    </w:p>
    <w:p>
      <w:pPr>
        <w:jc w:val="both"/>
      </w:pPr>
      <w:r>
        <w:rPr>
          <w:color w:val="0B0B0B"/>
        </w:rPr>
        <w:t>под исход В56).</w:t>
      </w:r>
    </w:p>
    <w:p>
      <w:pPr>
        <w:pStyle w:val="ListNumber"/>
      </w:pPr>
      <w:r>
        <w:rPr>
          <w:b/>
          <w:color w:val="0B0B0B"/>
        </w:rPr>
        <w:t>`MEASURES_FSM.md` с заполненными мерами</w:t>
      </w:r>
      <w:r>
        <w:rPr>
          <w:color w:val="0B0B0B"/>
        </w:rPr>
        <w:t xml:space="preserve"> — от Sabila.</w:t>
      </w:r>
    </w:p>
    <w:p>
      <w:pPr>
        <w:pStyle w:val="ListNumber"/>
      </w:pPr>
      <w:r>
        <w:rPr>
          <w:b/>
          <w:color w:val="0B0B0B"/>
        </w:rPr>
        <w:t>Оценка рамки</w:t>
      </w:r>
      <w:r>
        <w:rPr>
          <w:color w:val="0B0B0B"/>
        </w:rPr>
        <w:t xml:space="preserve"> — двенадцать позиций, шкала из трёх значений, доказательство к каждой.</w:t>
      </w:r>
    </w:p>
    <w:p>
      <w:pPr>
        <w:pStyle w:val="ListNumber"/>
      </w:pPr>
      <w:r>
        <w:rPr>
          <w:b/>
          <w:color w:val="0B0B0B"/>
        </w:rPr>
        <w:t>Реестр находок</w:t>
      </w:r>
      <w:r>
        <w:rPr>
          <w:color w:val="0B0B0B"/>
        </w:rPr>
        <w:t xml:space="preserve"> — уже ведётся, поддерживать актуальным (Б8).</w:t>
      </w:r>
    </w:p>
    <w:p>
      <w:pPr>
        <w:pStyle w:val="ListNumber"/>
      </w:pPr>
      <w:r>
        <w:rPr>
          <w:b/>
          <w:color w:val="0B0B0B"/>
        </w:rPr>
        <w:t>Инструмент зонирования</w:t>
      </w:r>
      <w:r>
        <w:rPr>
          <w:color w:val="0B0B0B"/>
        </w:rPr>
        <w:t xml:space="preserve"> с самопроверкой и приёмкой на двенадцати метриках.</w:t>
      </w:r>
    </w:p>
    <w:p>
      <w:pPr>
        <w:pStyle w:val="ListNumber"/>
      </w:pPr>
      <w:r>
        <w:rPr>
          <w:b/>
          <w:color w:val="0B0B0B"/>
        </w:rPr>
        <w:t>Перечень вопросов к владельцам</w:t>
      </w:r>
      <w:r>
        <w:rPr>
          <w:color w:val="0B0B0B"/>
        </w:rPr>
        <w:t xml:space="preserve"> — В42, В49, В50, В53–В56, и ответы по мере поступления.</w:t>
      </w:r>
    </w:p>
    <w:p>
      <w:pPr>
        <w:pStyle w:val="Heading2"/>
      </w:pPr>
      <w:r>
        <w:t>5. Последовательность</w:t>
      </w:r>
    </w:p>
    <w:p>
      <w:pPr>
        <w:jc w:val="both"/>
      </w:pPr>
      <w:r>
        <w:rPr>
          <w:color w:val="0B0B0B"/>
        </w:rPr>
        <w:t>Порядок выведен из вложенности слоёв, а не из удобства.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0B0B0B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Шаг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Слой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Зависит от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Состояние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Отправить В56, В42, В53, В54 владельцам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А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не отправлено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Меры R0…R4 от Sabila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Б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форма готова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передано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Оценка рамки по двенадцати позициям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В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Д-21 для § 2.4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не начато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Обратный стресс на остальные метрики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В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6 из 25 закрыто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Донастройка триггеров на компонентах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Б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наличие знаменателей в ряде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не начато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Записка v0.6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А+Б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В56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заблокировано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Инструмент зонирования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Г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разметка двенадцати метрик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структура согласована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Дефекты рейтинговых моделей — отдельный PR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А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записано, не заведено</w:t>
            </w:r>
          </w:p>
        </w:tc>
      </w:tr>
    </w:tbl>
    <w:p/>
    <w:p>
      <w:pPr>
        <w:jc w:val="both"/>
      </w:pPr>
      <w:r>
        <w:rPr>
          <w:color w:val="0B0B0B"/>
        </w:rPr>
        <w:t xml:space="preserve">Шаги 3, 4, 5, 7 </w:t>
      </w:r>
      <w:r>
        <w:rPr>
          <w:b/>
          <w:color w:val="0B0B0B"/>
        </w:rPr>
        <w:t>не блокированы</w:t>
      </w:r>
      <w:r>
        <w:rPr>
          <w:color w:val="0B0B0B"/>
        </w:rPr>
        <w:t xml:space="preserve"> и могут идти параллельно ожиданию ответов.</w:t>
      </w:r>
    </w:p>
    <w:p>
      <w:pPr>
        <w:pStyle w:val="Heading2"/>
      </w:pPr>
      <w:r>
        <w:t>5.1 Распределение работ</w:t>
      </w:r>
    </w:p>
    <w:p>
      <w:pPr>
        <w:jc w:val="both"/>
      </w:pPr>
      <w:r>
        <w:rPr>
          <w:color w:val="0B0B0B"/>
        </w:rPr>
        <w:t xml:space="preserve">Роли по </w:t>
      </w:r>
      <w:r>
        <w:rPr>
          <w:rFonts w:ascii="Consolas" w:hAnsi="Consolas"/>
          <w:color w:val="0B0B0B"/>
          <w:sz w:val="19"/>
        </w:rPr>
        <w:t>docs/pm/CONFIG.md</w:t>
      </w:r>
      <w:r>
        <w:rPr>
          <w:color w:val="0B0B0B"/>
        </w:rPr>
        <w:t xml:space="preserve">. Два ограничения соблюдены: </w:t>
      </w:r>
      <w:r>
        <w:rPr>
          <w:b/>
          <w:color w:val="0B0B0B"/>
        </w:rPr>
        <w:t>Дамир — адресат решений, а не задач</w:t>
      </w:r>
      <w:r>
        <w:rPr>
          <w:color w:val="0B0B0B"/>
        </w:rPr>
        <w:t>; задачи Ерлану идут через Айдара как линейного руководителя. Вход Sabila принимается неизменным: расходится расчёт — правится наша сторона.</w:t>
      </w:r>
    </w:p>
    <w:p>
      <w:pPr>
        <w:pStyle w:val="Heading3"/>
      </w:pPr>
      <w:r>
        <w:t>Кто что делает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0B0B0B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  <w:color w:val="0B0B0B"/>
              </w:rPr>
              <w:t>Работа</w:t>
            </w:r>
          </w:p>
        </w:tc>
        <w:tc>
          <w:tcPr>
            <w:tcW w:type="dxa" w:w="1440"/>
          </w:tcPr>
          <w:p>
            <w:r>
              <w:rPr>
                <w:b/>
                <w:color w:val="0B0B0B"/>
              </w:rPr>
              <w:t>Слой</w:t>
            </w:r>
          </w:p>
        </w:tc>
        <w:tc>
          <w:tcPr>
            <w:tcW w:type="dxa" w:w="1440"/>
          </w:tcPr>
          <w:p>
            <w:r>
              <w:rPr>
                <w:b/>
                <w:color w:val="0B0B0B"/>
              </w:rPr>
              <w:t>Исполнитель</w:t>
            </w:r>
          </w:p>
        </w:tc>
        <w:tc>
          <w:tcPr>
            <w:tcW w:type="dxa" w:w="1440"/>
          </w:tcPr>
          <w:p>
            <w:r>
              <w:rPr>
                <w:b/>
                <w:color w:val="0B0B0B"/>
              </w:rPr>
              <w:t>Вход нужен от</w:t>
            </w:r>
          </w:p>
        </w:tc>
        <w:tc>
          <w:tcPr>
            <w:tcW w:type="dxa" w:w="1440"/>
          </w:tcPr>
          <w:p>
            <w:r>
              <w:rPr>
                <w:b/>
                <w:color w:val="0B0B0B"/>
              </w:rPr>
              <w:t>Зависит от</w:t>
            </w:r>
          </w:p>
        </w:tc>
      </w:tr>
      <w:tr>
        <w:tc>
          <w:tcPr>
            <w:tcW w:type="dxa" w:w="1440"/>
          </w:tcPr>
          <w:p>
            <w:r>
              <w:rPr>
                <w:color w:val="0B0B0B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Запрос В56: какой собственный капитал предусмотрен для топ-20 — E11 или E52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А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Мирас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владелец сводного отчёта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color w:val="0B0B0B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 xml:space="preserve">Запрос В42 и Д15: формула CoR и природа ряда на листе </w:t>
            </w:r>
            <w:r>
              <w:rPr>
                <w:rFonts w:ascii="Consolas" w:hAnsi="Consolas"/>
                <w:color w:val="0B0B0B"/>
                <w:sz w:val="19"/>
              </w:rPr>
              <w:t>Monthly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А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Мирас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владелец расчёта CoR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color w:val="0B0B0B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Запрос В53 и В54: какие лимиты утверждены по CoR МСБ (3,5 или 3,3 %) и по HLA (20 или 25 %)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А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Мирас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владелец сводного отчёта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color w:val="0B0B0B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 xml:space="preserve">Г43 — четыре ячейки отчёта возвращают </w:t>
            </w:r>
            <w:r>
              <w:rPr>
                <w:rFonts w:ascii="Consolas" w:hAnsi="Consolas"/>
                <w:color w:val="0B0B0B"/>
                <w:sz w:val="19"/>
              </w:rPr>
              <w:t>#VALUE!</w:t>
            </w:r>
            <w:r>
              <w:rPr>
                <w:color w:val="0B0B0B"/>
              </w:rPr>
              <w:t>; внести как дефект расчёта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А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Мирас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владелец сводного отчёта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color w:val="0B0B0B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Два дефекта рейтинговых моделей: дыра (4,49; 5,00) и перекрытие [8,00; 8,99]; сверить с формулой подстановки Приложения № 5.15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А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Ерлан — через Айдара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Айдар как владелец PD/LGD и валидации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 xml:space="preserve">отдельный PR по </w:t>
            </w:r>
            <w:r>
              <w:rPr>
                <w:rFonts w:ascii="Consolas" w:hAnsi="Consolas"/>
                <w:color w:val="0B0B0B"/>
                <w:sz w:val="19"/>
              </w:rPr>
              <w:t>provisions_method</w:t>
            </w:r>
          </w:p>
        </w:tc>
      </w:tr>
      <w:tr>
        <w:tc>
          <w:tcPr>
            <w:tcW w:type="dxa" w:w="1440"/>
          </w:tcPr>
          <w:p>
            <w:r>
              <w:rPr>
                <w:color w:val="0B0B0B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b/>
                <w:color w:val="0B0B0B"/>
              </w:rPr>
              <w:t>Содержание мер R0…R4</w:t>
            </w:r>
            <w:r>
              <w:rPr>
                <w:color w:val="0B0B0B"/>
              </w:rPr>
              <w:t xml:space="preserve"> из действующих процедур; где процедуры нет — зафиксировать это как результат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Б</w:t>
            </w:r>
          </w:p>
        </w:tc>
        <w:tc>
          <w:tcPr>
            <w:tcW w:type="dxa" w:w="1440"/>
          </w:tcPr>
          <w:p>
            <w:r>
              <w:rPr>
                <w:b/>
                <w:color w:val="0B0B0B"/>
              </w:rPr>
              <w:t>Sabila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 xml:space="preserve">форма § 8 </w:t>
            </w:r>
            <w:r>
              <w:rPr>
                <w:rFonts w:ascii="Consolas" w:hAnsi="Consolas"/>
                <w:color w:val="0B0B0B"/>
                <w:sz w:val="19"/>
              </w:rPr>
              <w:t>MEASURES_FSM.md</w:t>
            </w:r>
            <w:r>
              <w:rPr>
                <w:color w:val="0B0B0B"/>
              </w:rPr>
              <w:t xml:space="preserve"> передана</w:t>
            </w:r>
          </w:p>
        </w:tc>
      </w:tr>
      <w:tr>
        <w:tc>
          <w:tcPr>
            <w:tcW w:type="dxa" w:w="1440"/>
          </w:tcPr>
          <w:p>
            <w:r>
              <w:rPr>
                <w:color w:val="0B0B0B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Решения по механизму: Д-19 (триггеры A или ждать B), Д-20 (N гистерезиса), порог панельного правила, уведомляется ли АРРФР при нарушении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Б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 xml:space="preserve">Мирас готовит — </w:t>
            </w:r>
            <w:r>
              <w:rPr>
                <w:b/>
                <w:color w:val="0B0B0B"/>
              </w:rPr>
              <w:t>решает УО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п. 6 для содержания R4</w:t>
            </w:r>
          </w:p>
        </w:tc>
      </w:tr>
      <w:tr>
        <w:tc>
          <w:tcPr>
            <w:tcW w:type="dxa" w:w="1440"/>
          </w:tcPr>
          <w:p>
            <w:r>
              <w:rPr>
                <w:color w:val="0B0B0B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Донастройка триггеров на компонентах числителя и знаменателя вместо хода самой метрики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Б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Мирас, расчёт — Ерлан через Айдара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разложение по EL и PD (Д-10)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В42, Д-10</w:t>
            </w:r>
          </w:p>
        </w:tc>
      </w:tr>
      <w:tr>
        <w:tc>
          <w:tcPr>
            <w:tcW w:type="dxa" w:w="1440"/>
          </w:tcPr>
          <w:p>
            <w:r>
              <w:rPr>
                <w:color w:val="0B0B0B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Аналитическая записка v0.6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А+Б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Мирас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b/>
                <w:color w:val="0B0B0B"/>
              </w:rPr>
              <w:t>В56</w:t>
            </w:r>
          </w:p>
        </w:tc>
      </w:tr>
      <w:tr>
        <w:tc>
          <w:tcPr>
            <w:tcW w:type="dxa" w:w="1440"/>
          </w:tcPr>
          <w:p>
            <w:r>
              <w:rPr>
                <w:color w:val="0B0B0B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Оценка двенадцати позиций рамки по FSB и четырём юрисдикциям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В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Мирас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color w:val="0B0B0B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Профиль Банка: доли якорных продуктов в портфеле и в процентном доходе (Д-21)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В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Мирас формулирует запрос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подразделение управленческой отчётности — через Дамира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color w:val="0B0B0B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Обратный стресс на остальные метрики (закрыто 6 из 25)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В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Мирас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стрессовые параметры — Айдар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color w:val="0B0B0B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Г41 — способ агрегирования ACARI и ALRI; запрос В55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В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Мирас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владелец Методики агрегированных уровней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color w:val="0B0B0B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Инструмент зонирования и приёмка на двенадцати метриках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Г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Мирас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разметка метрик</w:t>
            </w:r>
          </w:p>
        </w:tc>
      </w:tr>
      <w:tr>
        <w:tc>
          <w:tcPr>
            <w:tcW w:type="dxa" w:w="1440"/>
          </w:tcPr>
          <w:p>
            <w:r>
              <w:rPr>
                <w:color w:val="0B0B0B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Ежегодная перекалибровка: окно 36 мес. со стрессовым полом, проверка покрытия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Г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Мирас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п. 14</w:t>
            </w:r>
          </w:p>
        </w:tc>
      </w:tr>
    </w:tbl>
    <w:p/>
    <w:p>
      <w:pPr>
        <w:pStyle w:val="Heading3"/>
      </w:pPr>
      <w:r>
        <w:t>Что можно начинать сегодня</w:t>
      </w:r>
    </w:p>
    <w:p>
      <w:pPr>
        <w:jc w:val="both"/>
      </w:pPr>
      <w:r>
        <w:rPr>
          <w:color w:val="0B0B0B"/>
        </w:rPr>
        <w:t xml:space="preserve">Не блокировано ничем: </w:t>
      </w:r>
      <w:r>
        <w:rPr>
          <w:b/>
          <w:color w:val="0B0B0B"/>
        </w:rPr>
        <w:t>10, 12, 13, 14</w:t>
      </w:r>
      <w:r>
        <w:rPr>
          <w:color w:val="0B0B0B"/>
        </w:rPr>
        <w:t xml:space="preserve"> — и </w:t>
      </w:r>
      <w:r>
        <w:rPr>
          <w:b/>
          <w:color w:val="0B0B0B"/>
        </w:rPr>
        <w:t>6</w:t>
      </w:r>
      <w:r>
        <w:rPr>
          <w:color w:val="0B0B0B"/>
        </w:rPr>
        <w:t xml:space="preserve">, который ждёт только Sabila. Запросы </w:t>
      </w:r>
      <w:r>
        <w:rPr>
          <w:b/>
          <w:color w:val="0B0B0B"/>
        </w:rPr>
        <w:t>1–4</w:t>
      </w:r>
      <w:r>
        <w:rPr>
          <w:color w:val="0B0B0B"/>
        </w:rPr>
        <w:t xml:space="preserve"> нужно отправить немедленно: от них зависит п. 9, а через него вся записка.</w:t>
      </w:r>
    </w:p>
    <w:p>
      <w:pPr>
        <w:pStyle w:val="Heading3"/>
      </w:pPr>
      <w:r>
        <w:t>Кто принимает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B0B0B"/>
              </w:rPr>
              <w:t>Решение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Принимает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Пивот / достройка / актуализация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Дамир и вышестоящие руководители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Знаменатель топ-20 и, как следствие, уровень (95 / 108,63 / 118,17 %)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уполномоченный орган</w:t>
            </w:r>
            <w:r>
              <w:rPr>
                <w:color w:val="0B0B0B"/>
              </w:rPr>
              <w:t xml:space="preserve"> по представлению БРМ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Смысл числа 95: риск-ёмкость против риск-аппетита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уполномоченный орган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Состав мер R0…R4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 xml:space="preserve">Sabila готовит, утверждает </w:t>
            </w:r>
            <w:r>
              <w:rPr>
                <w:b/>
                <w:color w:val="0B0B0B"/>
              </w:rPr>
              <w:t>УО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Пороги механизма: Д-19, Д-20, панельное правило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УО</w:t>
            </w:r>
            <w:r>
              <w:rPr>
                <w:color w:val="0B0B0B"/>
              </w:rPr>
              <w:t xml:space="preserve"> по представлению БРМ</w:t>
            </w:r>
          </w:p>
        </w:tc>
      </w:tr>
    </w:tbl>
    <w:p/>
    <w:p>
      <w:pPr>
        <w:pStyle w:val="Heading3"/>
      </w:pPr>
      <w:r>
        <w:t>Чего распределение не закрывает</w:t>
      </w:r>
    </w:p>
    <w:p>
      <w:pPr>
        <w:jc w:val="both"/>
      </w:pPr>
      <w:r>
        <w:rPr>
          <w:color w:val="0B0B0B"/>
        </w:rPr>
        <w:t xml:space="preserve">Четыре запроса из пятнадцати работ адресованы </w:t>
      </w:r>
      <w:r>
        <w:rPr>
          <w:b/>
          <w:color w:val="0B0B0B"/>
        </w:rPr>
        <w:t>владельцам, имена которых в контуре не установлены</w:t>
      </w:r>
      <w:r>
        <w:rPr>
          <w:color w:val="0B0B0B"/>
        </w:rPr>
        <w:t>: владелец сводного отчёта, владелец расчёта CoR, владелец Методики агрегированных уровней, подразделение управленческой отчётности. До того как они названы, пункты 1–4, 11 и 13 не имеют адресата, а не исполнителя. Это первое, что нужно снять.</w:t>
      </w:r>
    </w:p>
    <w:p>
      <w:pPr>
        <w:pStyle w:val="Heading2"/>
      </w:pPr>
      <w:r>
        <w:t>6. Что остаётся верным при любом исходе В56</w:t>
      </w:r>
    </w:p>
    <w:p>
      <w:pPr>
        <w:jc w:val="both"/>
      </w:pPr>
      <w:r>
        <w:rPr>
          <w:color w:val="0B0B0B"/>
        </w:rPr>
        <w:t>Это ответ на возражение из начала документа — перечень работы, которую не придётся переделывать, как бы ни разрешился вопрос о знаменателе.</w:t>
      </w:r>
    </w:p>
    <w:p>
      <w:pPr>
        <w:pStyle w:val="ListBullet"/>
      </w:pPr>
      <w:r>
        <w:rPr>
          <w:b/>
          <w:color w:val="0B0B0B"/>
        </w:rPr>
        <w:t>Вся машина состояний.</w:t>
      </w:r>
      <w:r>
        <w:rPr>
          <w:color w:val="0B0B0B"/>
        </w:rPr>
        <w:t xml:space="preserve"> Она параметризуется числами, а не привязана к ним: изменится</w:t>
      </w:r>
    </w:p>
    <w:p>
      <w:pPr>
        <w:jc w:val="both"/>
      </w:pPr>
      <w:r>
        <w:rPr>
          <w:color w:val="0B0B0B"/>
        </w:rPr>
        <w:t>лимит и границы — логика 16 случаев, пять уровней и пять правил перехода останутся.</w:t>
      </w:r>
    </w:p>
    <w:p>
      <w:pPr>
        <w:pStyle w:val="ListBullet"/>
      </w:pPr>
      <w:r>
        <w:rPr>
          <w:b/>
          <w:color w:val="0B0B0B"/>
        </w:rPr>
        <w:t>Аудит триггеров.</w:t>
      </w:r>
      <w:r>
        <w:rPr>
          <w:color w:val="0B0B0B"/>
        </w:rPr>
        <w:t xml:space="preserve"> Вывод «триггер есть счётчик частоты, а не детектор» следует</w:t>
      </w:r>
    </w:p>
    <w:p>
      <w:pPr>
        <w:jc w:val="both"/>
      </w:pPr>
      <w:r>
        <w:rPr>
          <w:color w:val="0B0B0B"/>
        </w:rPr>
        <w:t>из устройства порога (девятый дециль), а не из значения лимита.</w:t>
      </w:r>
    </w:p>
    <w:p>
      <w:pPr>
        <w:pStyle w:val="ListBullet"/>
      </w:pPr>
      <w:r>
        <w:rPr>
          <w:b/>
          <w:color w:val="0B0B0B"/>
        </w:rPr>
        <w:t>Г41.</w:t>
      </w:r>
      <w:r>
        <w:rPr>
          <w:color w:val="0B0B0B"/>
        </w:rPr>
        <w:t xml:space="preserve"> Дефект агрегирования ACARI и ALRI не зависит от топ-20 вовсе.</w:t>
      </w:r>
    </w:p>
    <w:p>
      <w:pPr>
        <w:pStyle w:val="ListBullet"/>
      </w:pPr>
      <w:r>
        <w:rPr>
          <w:b/>
          <w:color w:val="0B0B0B"/>
        </w:rPr>
        <w:t>Г37, В51, В52.</w:t>
      </w:r>
      <w:r>
        <w:rPr>
          <w:color w:val="0B0B0B"/>
        </w:rPr>
        <w:t xml:space="preserve"> Мастер-шкала расшифрована документально.</w:t>
      </w:r>
    </w:p>
    <w:p>
      <w:pPr>
        <w:pStyle w:val="ListBullet"/>
      </w:pPr>
      <w:r>
        <w:rPr>
          <w:b/>
          <w:color w:val="0B0B0B"/>
        </w:rPr>
        <w:t>Оценка рамки по FSB.</w:t>
      </w:r>
      <w:r>
        <w:rPr>
          <w:color w:val="0B0B0B"/>
        </w:rPr>
        <w:t xml:space="preserve"> Двенадцать позиций — про устройство, а не про числа.</w:t>
      </w:r>
    </w:p>
    <w:p>
      <w:pPr>
        <w:pStyle w:val="ListBullet"/>
      </w:pPr>
      <w:r>
        <w:rPr>
          <w:b/>
          <w:color w:val="0B0B0B"/>
        </w:rPr>
        <w:t>Инструмент.</w:t>
      </w:r>
      <w:r>
        <w:rPr>
          <w:color w:val="0B0B0B"/>
        </w:rPr>
        <w:t xml:space="preserve"> Его переключатель определён через вырожденность и достаточность буфера;</w:t>
      </w:r>
    </w:p>
    <w:p>
      <w:pPr>
        <w:jc w:val="both"/>
      </w:pPr>
      <w:r>
        <w:rPr>
          <w:color w:val="0B0B0B"/>
        </w:rPr>
        <w:t>ни то ни другое не зависит от того, какой капитал в знаменателе одной метрики.</w:t>
      </w:r>
    </w:p>
    <w:p>
      <w:pPr>
        <w:jc w:val="both"/>
      </w:pPr>
      <w:r>
        <w:rPr>
          <w:color w:val="0B0B0B"/>
        </w:rPr>
        <w:t>Переделке при смене знаменателя подлежат: границы зон по топ-20, § 3 записки, и та часть презентации, где называется конкретное число уровня.</w:t>
      </w:r>
    </w:p>
    <w:p>
      <w:pPr>
        <w:pStyle w:val="Heading2"/>
      </w:pPr>
      <w:r>
        <w:t>7. Чего эта задача не решит</w:t>
      </w:r>
    </w:p>
    <w:p>
      <w:pPr>
        <w:pStyle w:val="ListNumber"/>
      </w:pPr>
      <w:r>
        <w:rPr>
          <w:b/>
          <w:color w:val="0B0B0B"/>
        </w:rPr>
        <w:t>Не даст независимой оценки.</w:t>
      </w:r>
      <w:r>
        <w:rPr>
          <w:color w:val="0B0B0B"/>
        </w:rPr>
        <w:t xml:space="preserve"> Рамку оценивает подразделение, которое её ведёт.</w:t>
      </w:r>
    </w:p>
    <w:p>
      <w:pPr>
        <w:jc w:val="both"/>
      </w:pPr>
      <w:r>
        <w:rPr>
          <w:color w:val="0B0B0B"/>
        </w:rPr>
        <w:t>Компенсируется опорой на первоисточники, но не устраняется.</w:t>
      </w:r>
    </w:p>
    <w:p>
      <w:pPr>
        <w:pStyle w:val="ListNumber"/>
      </w:pPr>
      <w:r>
        <w:rPr>
          <w:b/>
          <w:color w:val="0B0B0B"/>
        </w:rPr>
        <w:t>Не установит правильность уровней.</w:t>
      </w:r>
      <w:r>
        <w:rPr>
          <w:color w:val="0B0B0B"/>
        </w:rPr>
        <w:t xml:space="preserve"> Для этого нужна риск-ёмкость — звено 1, которого</w:t>
      </w:r>
    </w:p>
    <w:p>
      <w:pPr>
        <w:jc w:val="both"/>
      </w:pPr>
      <w:r>
        <w:rPr>
          <w:color w:val="0B0B0B"/>
        </w:rPr>
        <w:t>нет. Обратный стресс даёт границу выживания, а не желаемый уровень: это разные величины, и подменять одну другой нельзя.</w:t>
      </w:r>
    </w:p>
    <w:p>
      <w:pPr>
        <w:pStyle w:val="ListNumber"/>
      </w:pPr>
      <w:r>
        <w:rPr>
          <w:b/>
          <w:color w:val="0B0B0B"/>
        </w:rPr>
        <w:t>Не откалибрует пороги на исходах.</w:t>
      </w:r>
      <w:r>
        <w:rPr>
          <w:color w:val="0B0B0B"/>
        </w:rPr>
        <w:t xml:space="preserve"> За 36 месяцев по двенадцати метрикам одно</w:t>
      </w:r>
    </w:p>
    <w:p>
      <w:pPr>
        <w:jc w:val="both"/>
      </w:pPr>
      <w:r>
        <w:rPr>
          <w:color w:val="0B0B0B"/>
        </w:rPr>
        <w:t>превышение лимита и ни одного признанного реализовавшегося риска. Любое утверждение о точности сигнала на таком материале недоказуемо — доказуема только частота.</w:t>
      </w:r>
    </w:p>
    <w:p>
      <w:pPr>
        <w:pStyle w:val="ListNumber"/>
      </w:pPr>
      <w:r>
        <w:rPr>
          <w:b/>
          <w:color w:val="0B0B0B"/>
        </w:rPr>
        <w:t>Не закроет CoR</w:t>
      </w:r>
      <w:r>
        <w:rPr>
          <w:color w:val="0B0B0B"/>
        </w:rPr>
        <w:t>, пока не получен ответ по Д15 и В42. Две метрики из двенадцати</w:t>
      </w:r>
    </w:p>
    <w:p>
      <w:pPr>
        <w:jc w:val="both"/>
      </w:pPr>
      <w:r>
        <w:rPr>
          <w:color w:val="0B0B0B"/>
        </w:rPr>
        <w:t>останутся размеченными предварительно.</w:t>
      </w:r>
    </w:p>
    <w:p>
      <w:pPr>
        <w:pStyle w:val="ListNumber"/>
      </w:pPr>
      <w:r>
        <w:rPr>
          <w:b/>
          <w:color w:val="0B0B0B"/>
        </w:rPr>
        <w:t>Не заменит решения уполномоченного органа.</w:t>
      </w:r>
      <w:r>
        <w:rPr>
          <w:color w:val="0B0B0B"/>
        </w:rPr>
        <w:t xml:space="preserve"> Главное следствие работы — при лестничной</w:t>
      </w:r>
    </w:p>
    <w:p>
      <w:pPr>
        <w:jc w:val="both"/>
      </w:pPr>
      <w:r>
        <w:rPr>
          <w:color w:val="0B0B0B"/>
        </w:rPr>
        <w:t>разметке уровень 95 % выполняет роль риск-ёмкости, а уровнем риск-аппетита становится граница зелёной зоны. Это смена смысла числа 95, и принимает её УО, а не БРМ.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