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rFonts w:ascii="Times New Roman" w:cs="Times New Roman" w:eastAsia="Times New Roman" w:hAnsi="Times New Roman"/>
          <w:b/>
          <w:bCs/>
          <w:color w:val="16202B"/>
          <w:sz w:val="40"/>
          <w:szCs w:val="40"/>
        </w:rPr>
        <w:t xml:space="preserve">Превышение лимита 98-3: правовая рамка, сроки, режимы, сценарии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5B6B7A"/>
          <w:sz w:val="25"/>
          <w:szCs w:val="25"/>
        </w:rPr>
        <w:t xml:space="preserve">Что говорят действующие нормативные акты о длительности превышения, режимах усиленного надзора и восстановления и что следует из текущего статуса</w:t>
      </w:r>
    </w:p>
    <w:p>
      <w:pPr>
        <w:spacing w:after="200"/>
      </w:pPr>
      <w:r>
        <w:rPr>
          <w:rFonts w:ascii="Times New Roman" w:cs="Times New Roman" w:eastAsia="Times New Roman" w:hAnsi="Times New Roman"/>
          <w:color w:val="5B6B7A"/>
          <w:sz w:val="18"/>
          <w:szCs w:val="18"/>
        </w:rPr>
        <w:t xml:space="preserve">БРМ, АО «Евразийский банк» · рабочий контур docs/analysis/npl_limits · версия 0.4 от 19.08.2026</w:t>
      </w:r>
    </w:p>
    <w:p>
      <w:pPr>
        <w:spacing w:after="180" w:line="300"/>
        <w:jc w:val="both"/>
      </w:pPr>
      <w:r>
        <w:rPr>
          <w:rFonts w:ascii="Times New Roman" w:cs="Times New Roman" w:eastAsia="Times New Roman" w:hAnsi="Times New Roman"/>
          <w:i/>
          <w:iCs/>
          <w:color w:val="3C4A56"/>
          <w:sz w:val="22"/>
          <w:szCs w:val="22"/>
        </w:rPr>
        <w:t xml:space="preserve">Все положения записки — дословные цитаты с указанием пункта; каждая проверяется поиском по тексту соответствующего документа. Выводы, являющиеся сопоставлением автора, помечены отдельно. Перечень всех использованных актов — раздел 2.</w:t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1. Статус-кво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Лимит 98-3 — отношение неработающих займов к ссудному портфелю (НЗ/СП) — держится выше 10 % около трёх месяцев.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План мероприятий составлен; по плану возврат под лимит — примерно через три месяца.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Реквизиты для фиксации (заполнить): дата выявления превышения — ___; дата представления плана в АРРФР — ___; исходящий номер — ___.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none" w:color="FFFFFF" w:sz="0"/>
              <w:left w:val="single" w:color="A8492F" w:sz="18"/>
              <w:bottom w:val="none" w:color="FFFFFF" w:sz="0"/>
              <w:right w:val="none" w:color="FFFFFF" w:sz="0"/>
            </w:tcBorders>
            <w:shd w:fill="FBF3F0" w:color="auto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A8492F"/>
                <w:spacing w:val="24"/>
                <w:sz w:val="15"/>
                <w:szCs w:val="15"/>
              </w:rPr>
              <w:t xml:space="preserve">ДЕДЛАЙН</w:t>
            </w:r>
          </w:p>
          <w:p>
            <w:r>
              <w:rPr>
                <w:rFonts w:ascii="Times New Roman" w:cs="Times New Roman" w:eastAsia="Times New Roman" w:hAnsi="Times New Roman"/>
                <w:color w:val="16202B"/>
                <w:sz w:val="19"/>
                <w:szCs w:val="19"/>
              </w:rPr>
              <w:t xml:space="preserve">«В случае самостоятельного выявления превышения лимитов… банк… в течение 5 (пяти) рабочих дней со дня их выявления представляют в уполномоченный орган план мероприятий» (Нормативы № 85, п. 102). «В случае представления плана мероприятий превышение… не рассматривается как нарушение лимитов» (№ 85, п. 99, часть третья) — защита действует с момента представления плана.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2. Периметр нормативной базы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Документы, на которых построена записка (в нашем распоряжении полные тексты):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1"/>
        <w:gridCol w:w="4434"/>
        <w:gridCol w:w="3085"/>
      </w:tblGrid>
      <w:tr>
        <w:trPr>
          <w:tblHeader/>
        </w:trP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Акт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Реквизиты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Что регулирует для нашего кейса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Закон «О банках и банковской деятельности»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№ 258-VIII от 16.01.2026, в силе с 19.03.2026; у нас редакция на 25.08.2026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пруднормативы и лимиты (ст. 72), меры надзорного реагирования (ст. 78–81), признаки ухудшения (ст. 85), режимы: усиленный надзор (ст. 87), восстановление (ст. 88–89), урегулирование (ст. 90–101)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Нормативы № 85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АРРФР от 28.04.2026 № 85, рег. № 38587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глава 11 (пп. 98–108): наш лимит 98-3, план мероприятий, сроки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Правила СУР и ВК № 86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АРРФР от 28.04.2026 № 86, рег. № 38586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риск-аппетит, ВПОДК; обязанность БРМ по СРП и триггерам (п. 34 пп. 5, 6)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Значения признаков ухудшения № 119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АРРФР от 07.08.2026 № 119, рег. № 39529 от 10.08.2026; вводится по истечении 10 календарных дней после первого официального опубликования (п. 4) — точную дату опубликования сверить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пороговые значения входа в режимы, включая счётчик шести месяцев по доле кредитов 3 стадии (раздел 4)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Правила провизий № 61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АРРФР от 29.09.2025 № 61, рег. № 36994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критерии обесценения — периметр НЗ и кредитов 3 стадии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Правила системной значимости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НБ РК от 23.12.2019 № 240, рег. № 19925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статус Банка — открытый вопрос; влияет на стресс-тест фактора 98-1 (№ 85, п. 108)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Макропруденциальные нормативы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НБ РК от 25.08.2025 № 52, рег. № 36722 (в ред. от 11.03.2026)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макролимиты, входящие в признак ст. 85 п. 2 пп. 1 Закона</w:t>
            </w:r>
          </w:p>
        </w:tc>
      </w:tr>
    </w:tbl>
    <w:p>
      <w:pPr>
        <w:spacing w:after="220" w:before="80"/>
      </w:pPr>
      <w:r>
        <w:rPr>
          <w:rFonts w:ascii="Times New Roman" w:cs="Times New Roman" w:eastAsia="Times New Roman" w:hAnsi="Times New Roman"/>
          <w:i/>
          <w:iCs/>
          <w:color w:val="5B6B7A"/>
          <w:sz w:val="16"/>
          <w:szCs w:val="16"/>
        </w:rPr>
        <w:t xml:space="preserve">Реквизиты — по текстам документов; № 73 от 20.04.2026 (рег. № 38502, нормативы филиалов банков-нерезидентов) упомянут в № 119 и к Банку не применяется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none" w:color="FFFFFF" w:sz="0"/>
              <w:left w:val="single" w:color="1C5B57" w:sz="18"/>
              <w:bottom w:val="none" w:color="FFFFFF" w:sz="0"/>
              <w:right w:val="none" w:color="FFFFFF" w:sz="0"/>
            </w:tcBorders>
            <w:shd w:fill="F2F7F6" w:color="auto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C5B57"/>
                <w:spacing w:val="24"/>
                <w:sz w:val="15"/>
                <w:szCs w:val="15"/>
              </w:rPr>
              <w:t xml:space="preserve">ЧЕГО НЕТ В РАСПОРЯЖЕНИИ</w:t>
            </w:r>
          </w:p>
          <w:p>
            <w:r>
              <w:rPr>
                <w:rFonts w:ascii="Times New Roman" w:cs="Times New Roman" w:eastAsia="Times New Roman" w:hAnsi="Times New Roman"/>
                <w:color w:val="16202B"/>
                <w:sz w:val="19"/>
                <w:szCs w:val="19"/>
              </w:rPr>
              <w:t xml:space="preserve">(1) Правила применения мер надзорного реагирования (упомянуты в ст. 78 Закона); (2) НПА о требованиях к содержанию плана восстановления финансовой устойчивости (предусмотрен ст. 88 п. 4); (3) текст поправок Закона № 306-VIII от 11.06.2026, вступающих в силу 01.01.2027*. Утверждения по этим трём позициям в записке не делаются.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3. Лимит 98-3 и срок превышения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1"/>
        <w:gridCol w:w="4434"/>
        <w:gridCol w:w="3085"/>
      </w:tblGrid>
      <w:tr>
        <w:trPr>
          <w:tblHeader/>
        </w:trP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Норма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Цитата (сокращённо)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Следствие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№ 85, п. 98 ч. 1 пп. 3; п. 107 пп. 3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«превышение отношения неработающих займов к общему объему ссудного портфеля банка»; триггер «НЗ/СП ≥ 10 %»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наш лимит; НЗ — займы с признаками обесценения по МСФО и Правилам № 61 плюс POCI, расчёт gross (п. 98 ч. 2)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№ 85, п. 104 пп. 2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«снижение… до уровня менее 10 (десяти) процентов»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цель плана; предельный срок возврата главой 11 не установлен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№ 85, п. 106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«ежемесячно на базе данных отчетности осуществляет анализ»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АРРФР видит превышение каждый месяц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Закон, ст. 80 п. 5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«обязаны уведомить… об исполнении мер… в сроки, предусмотренные данными документами»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срок, заявленный в плане, — обязательство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Закон, ст. 80 п. 6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«…по причинам, не зависящим от банка… может быть продлен до даты, установленной уполномоченным органом»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продление только по внешним причинам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Закон, ст. 78 п. 3 пп. 3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«учитываются… систематичность и продолжительность нарушений»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длительность — фактор ужесточения мер</w:t>
            </w:r>
          </w:p>
        </w:tc>
      </w:tr>
    </w:tbl>
    <w:p>
      <w:pPr>
        <w:spacing w:after="220" w:before="80"/>
      </w:pPr>
      <w:r>
        <w:rPr>
          <w:rFonts w:ascii="Times New Roman" w:cs="Times New Roman" w:eastAsia="Times New Roman" w:hAnsi="Times New Roman"/>
          <w:i/>
          <w:iCs/>
          <w:color w:val="5B6B7A"/>
          <w:sz w:val="16"/>
          <w:szCs w:val="16"/>
        </w:rPr>
        <w:t xml:space="preserve">Нормативы № 85, глава 11; Закон № 258-VIII (ред. 25.08.2026)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Нормы вида «нарушение лимита N месяцев влечёт…» в главе 11 нет: срок возврата задаёт сам банк в плане. Такая норма есть в постановлении № 119 — раздел 4.</w:t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4. Счётчик шести месяцев (№ 119) и развилка по провизиям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F5F7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6202B"/>
                <w:sz w:val="17"/>
                <w:szCs w:val="17"/>
              </w:rPr>
              <w:t xml:space="preserve">ДС3 = (кредиты 3 стадии + ПСКО) / ссудный портфель        (№ 119, п. 7 пп. 1)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6202B"/>
                <w:sz w:val="17"/>
                <w:szCs w:val="17"/>
              </w:rPr>
              <w:t xml:space="preserve">КПП = провизии 3 стадии / (кредиты 3 стадии + ПСКО)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6202B"/>
                <w:sz w:val="17"/>
                <w:szCs w:val="17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6202B"/>
                <w:sz w:val="17"/>
                <w:szCs w:val="17"/>
              </w:rPr>
              <w:t xml:space="preserve">«Признак считается наступившим, если в течение 6 (шести)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6202B"/>
                <w:sz w:val="17"/>
                <w:szCs w:val="17"/>
              </w:rPr>
              <w:t xml:space="preserve">последовательных отчетных месяцев одновременно выполняются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6202B"/>
                <w:sz w:val="17"/>
                <w:szCs w:val="17"/>
              </w:rPr>
              <w:t xml:space="preserve">следующие условия…: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6202B"/>
                <w:sz w:val="17"/>
                <w:szCs w:val="17"/>
              </w:rPr>
              <w:t xml:space="preserve">  ДС3m ≥ 10% и КППm &lt; 40% — для режима усиленного надзора;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6202B"/>
                <w:sz w:val="17"/>
                <w:szCs w:val="17"/>
              </w:rPr>
              <w:t xml:space="preserve">  ДС3m ≥ 15% и КППm &lt; 40% — для режима восстановления…»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6202B"/>
                <w:sz w:val="17"/>
                <w:szCs w:val="17"/>
              </w:rPr>
              <w:t xml:space="preserve">                                          (№ 119, п. 7 пп. 2)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Показатель — </w:t>
      </w: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основной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, мониторинг </w:t>
      </w: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ежемесячный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(№ 119, приложение 2, строка 3); «отклонение… одного основного… показателя… является основанием для применения… режима» (№ 119, п. 5).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Разовые пороги (приложение 1, строки 8, 10): ДС3 ≥ 15 % при КПП &lt; 40 % — усиленный надзор, ДС3 ≥ 20 % при КПП &lt; 40 % — восстановление; мгновенный рост ДС3 за месяц на 4–6 п.п. и свыше 6 п.п. — соответственно.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Сопоставление автора (подтвердить с методологами провизий):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периметр ДС3 по определениям № 119 совпадает с периметром НЗ лимита 98-3 — обе величины строятся на кредитно-обесцененных активах по критериям № 61 плюс ПСКО, gross.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none" w:color="FFFFFF" w:sz="0"/>
              <w:left w:val="single" w:color="A8492F" w:sz="18"/>
              <w:bottom w:val="none" w:color="FFFFFF" w:sz="0"/>
              <w:right w:val="none" w:color="FFFFFF" w:sz="0"/>
            </w:tcBorders>
            <w:shd w:fill="FBF3F0" w:color="auto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A8492F"/>
                <w:spacing w:val="24"/>
                <w:sz w:val="15"/>
                <w:szCs w:val="15"/>
              </w:rPr>
              <w:t xml:space="preserve">ДЕДЛАЙН</w:t>
            </w:r>
          </w:p>
          <w:p>
            <w:r>
              <w:rPr>
                <w:rFonts w:ascii="Times New Roman" w:cs="Times New Roman" w:eastAsia="Times New Roman" w:hAnsi="Times New Roman"/>
                <w:color w:val="16202B"/>
                <w:sz w:val="19"/>
                <w:szCs w:val="19"/>
              </w:rPr>
              <w:t xml:space="preserve">Превышение 10 % держится около трёх месяцев; план отводит ещё около трёх. Если КПП в эти месяцы ниже 40 %, шестой месяц с ДС3 ≥ 10 % закрывает счётчик признака — к плановой дате возврата. Счётчик разрывается, если хотя бы один месяц окна даёт ДС3 &lt; 10 %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6202B"/>
                <w:sz w:val="19"/>
                <w:szCs w:val="19"/>
              </w:rPr>
              <w:t xml:space="preserve">или</w:t>
            </w:r>
            <w:r>
              <w:rPr>
                <w:rFonts w:ascii="Times New Roman" w:cs="Times New Roman" w:eastAsia="Times New Roman" w:hAnsi="Times New Roman"/>
                <w:color w:val="16202B"/>
                <w:sz w:val="19"/>
                <w:szCs w:val="19"/>
              </w:rPr>
              <w:t xml:space="preserve"> КПП ≥ 40 %. При КПП ≥ 40 % во всех месяцах признак не собирается вовсе. Первое число к расчёту — КПП помесячно за период превышения.</w:t>
            </w:r>
          </w:p>
        </w:tc>
      </w:tr>
    </w:tbl>
    <w:p>
      <w:pPr>
        <w:spacing w:after="180"/>
      </w:pPr>
    </w:p>
    <w:p>
      <w:r>
        <w:br w:type="page"/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5. Режим усиленного надзора (ст. 87 Закона)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Что это.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«Под режимом усиленного надзора понимается особый порядок надзора, применяемый к банку по решению уполномоченного органа с целью предотвращения ухудшения финансовой устойчивости банка» (ст. 87 п. 1). Управление остаётся у банка; решение о введении доводится банку в течение трёх рабочих дней и «не подлежит распространению (разглашению)» (п. 4).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Что влечёт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(п. 2, в дополнение к мерам ст. 78, в форме письменного предписания): отчётность с индивидуальной периодичностью*; оценка финансового и имущественного состояния «c посещением банка и (или) привлечением оценщиков, аудиторских и (или) иных специализированных организаций, услуги которых оплачиваются (возмещаются) за счет средств банка» (пп. 2); анализ устойчивости к неблагоприятным макроусловиям; требование актуализации плана восстановления; требование мер вплоть до увеличения собственного капитала (пп. 5); приостановление отдельных операций и сделок (пп. 6, 7); улучшение корпоративного управления и СУР (пп. 8). Банк обязан «принять меры, необходимые (достаточные) для устранения причин» (п. 5).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none" w:color="FFFFFF" w:sz="0"/>
              <w:left w:val="single" w:color="1C5B57" w:sz="18"/>
              <w:bottom w:val="none" w:color="FFFFFF" w:sz="0"/>
              <w:right w:val="none" w:color="FFFFFF" w:sz="0"/>
            </w:tcBorders>
            <w:shd w:fill="F2F7F6" w:color="auto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C5B57"/>
                <w:spacing w:val="24"/>
                <w:sz w:val="15"/>
                <w:szCs w:val="15"/>
              </w:rPr>
              <w:t xml:space="preserve">ВЫХОД ИЗ РЕЖИМА</w:t>
            </w:r>
          </w:p>
          <w:p>
            <w:r>
              <w:rPr>
                <w:rFonts w:ascii="Times New Roman" w:cs="Times New Roman" w:eastAsia="Times New Roman" w:hAnsi="Times New Roman"/>
                <w:color w:val="16202B"/>
                <w:sz w:val="19"/>
                <w:szCs w:val="19"/>
              </w:rPr>
              <w:t xml:space="preserve">«Режим усиленного надзора прекращается по решению уполномоченного органа при устранении оснований его применения и соблюдении банком в течение шести последовательных календарных месяцев коэффициентов достаточности собственного капитала и иных пруденциальных нормативов и лимитов…, а также макропруденциальных нормативов и лимитов…» (ст. 87 п. 6). Максимальный срок нахождения в режиме законом не установлен; минимальная длительность фактически — шесть месяцев чистого соблюдения после устранения оснований.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6. Режим восстановления финансовой устойчивости (ст. 88–89)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Что это.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«Комплекс мер, осуществляемых по решению уполномоченного органа банком, крупными участниками банка, банковскими холдингами с целью восстановления финансовой устойчивости банка…, а также предотвращения применения к банку режима урегулирования или принудительной ликвидации» (ст. 89 п. 1). Ступень тяжелее усиленного надзора: часть последствий наступает автоматически с даты решения.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Автоматически с даты решения (п. 5):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банк «приостанавливает принятие решений, а также исполнение ранее принятых решений о распределении прибыли, выплате дивидендов, выполнении любых финансовых обязательств перед крупными участниками…, а также выплате вознаграждений руководящим работникам банка, за исключением выплаты заработной платы (кроме премий…)»; акционеры без статуса крупного участника лишаются права голоса на общем собрании.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Пять рабочих дней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на представление актуализированного плана восстановления на одобрение уполномоченного органа (п. 6); после одобрения — незамедлительное исполнение.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Полномочия регулятора (п. 2):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все полномочия усиленного надзора плюс требования по изменению структуры активов (включая продажу), «внесения изменений в организационную структуру банка, включая замену руководящих работников» (пп. 3), особый порядок отдельных операций вплоть до предварительного согласования сделок (пп. 4).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Эскалация внутри режима: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при неисполнении плана — меры ст. 78 (п. 7) и право назначить временную администрацию (п. 9); сделки банка за три года до режима могут оспариваться как недействительные (п. 10).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Рамки плана восстановления (ст. 88 п. 4):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«не должен предусматривать использование государственных средств… и не может предусматривать срок реализации, превышающий двенадцать месяцев»; план обязателен для банка постоянно и актуализируется не реже раза в год (ст. 88 п. 3).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none" w:color="FFFFFF" w:sz="0"/>
              <w:left w:val="single" w:color="1C5B57" w:sz="18"/>
              <w:bottom w:val="none" w:color="FFFFFF" w:sz="0"/>
              <w:right w:val="none" w:color="FFFFFF" w:sz="0"/>
            </w:tcBorders>
            <w:shd w:fill="F2F7F6" w:color="auto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C5B57"/>
                <w:spacing w:val="24"/>
                <w:sz w:val="15"/>
                <w:szCs w:val="15"/>
              </w:rPr>
              <w:t xml:space="preserve">ВЫХОД ИЗ РЕЖИМА</w:t>
            </w:r>
          </w:p>
          <w:p>
            <w:r>
              <w:rPr>
                <w:rFonts w:ascii="Times New Roman" w:cs="Times New Roman" w:eastAsia="Times New Roman" w:hAnsi="Times New Roman"/>
                <w:color w:val="16202B"/>
                <w:sz w:val="19"/>
                <w:szCs w:val="19"/>
              </w:rPr>
              <w:t xml:space="preserve">Формула та же, что у усиленного надзора: «прекращается по решению уполномоченного органа при устранении оснований его применения и соблюдении банком в течение шести последовательных календарных месяцев… нормативов и лимитов» (ст. 89 п. 11). Максимальный срок нахождения не установлен; фактический минимум — шесть месяцев чистого соблюдения.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7. Сценарии из текущего статуса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1"/>
        <w:gridCol w:w="4434"/>
        <w:gridCol w:w="3085"/>
      </w:tblGrid>
      <w:tr>
        <w:trPr>
          <w:tblHeader/>
        </w:trP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Сценарий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Квалификация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Последствия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А.</w:t>
            </w: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 План представлен в срок, исполняется; возврат под 10 % по графику; КПП ≥ 40 % либо счётчик № 119 разорван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превышение — не нарушение (№ 85, п. 99 ч. 3)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эпизод закрывается ежемесячной отчётностью (п. 106)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Б.</w:t>
            </w: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 План представлен, но срок сорван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невыполнение меры надзорного реагирования (ст. 78 п. 2 пп. 7); качественный признак «неисполнение мер по ст. 80» (№ 119, п. 16 пп. 6)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основание для режима восстановления, минуя усиленный надзор; меры ст. 80–81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В.</w:t>
            </w: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 План не представлен или подан с пропуском 5 рабочих дней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каждое месячное превышение — нарушение лимита; длительность — отягчающий фактор (ст. 78 п. 3 пп. 3)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меры ст. 78–80; вход в признак ст. 85 п. 2 пп. 1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Г.</w:t>
            </w: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 Шестой месяц ДС3 ≥ 10 % при КПП &lt; 40 % (либо разово 15 %, либо рост 4+ п.п. за месяц)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основной количественный признак (№ 119, п. 7, прил. 1 стр. 8–10)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основание усиленного надзора (раздел 5); при 15 % шесть месяцев или 20 % разово — режима восстановления (раздел 6)</w:t>
            </w:r>
          </w:p>
        </w:tc>
      </w:tr>
    </w:tbl>
    <w:p>
      <w:pPr>
        <w:spacing w:after="220" w:before="80"/>
      </w:pPr>
      <w:r>
        <w:rPr>
          <w:rFonts w:ascii="Times New Roman" w:cs="Times New Roman" w:eastAsia="Times New Roman" w:hAnsi="Times New Roman"/>
          <w:i/>
          <w:iCs/>
          <w:color w:val="5B6B7A"/>
          <w:sz w:val="16"/>
          <w:szCs w:val="16"/>
        </w:rPr>
        <w:t xml:space="preserve">Квалификация — дословно по цитированным нормам; выбор сценария определяется фактами разделов 1 и 4</w:t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8. Предлагаемые шаги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Зафиксировать письменно дату выявления и дату представления плана; если план не представлен — представить незамедлительно (щит п. 99 включается представлением).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Рассчитать КПП помесячно за период превышения; при КПП &lt; 40 % — рассмотреть доформирование провизий до ≥ 40 % в ближайший отчётный месяц и (или) ускорение возврата доли под 10 % на один месяц против плана. Оба варианта дословно соответствуют цели п. 104 пп. 2 и разрывают счётчик № 119.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Вести собственный ежемесячный расчёт НЗ/СП и КПП с опережением цикла п. 106; отклонение от траектории плана — повод инициировать его корректировку через процедуру замечаний (№ 85, п. 100) до наступления срыва.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Проверить актуальность плана восстановления финансовой устойчивости (ст. 88: обязателен постоянно, актуализация не реже раза в год) — в усиленном надзоре его актуализацию вправе потребовать регулятор (ст. 87 п. 2 пп. 4).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Подтвердить у методологов провизий сопоставление периметров ДС3 (№ 119) и НЗ (№ 85) — раздел 4.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Запросить недостающие акты из раздела 2 (правила применения мер надзорного реагирования; требования к плану восстановления; поправки № 306-VIII).</w:t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9. Пометка *: изменения с 1 января 2027 года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ст. 87 п. 2 пп. 1: до 01.01.2027 — «получать информацию, финансовую и иную отчетность с индивидуально определенной периодичностью» (редакция ст. 135 п. 3 пп. 2); с 01.01.2027 — дополнительно «посредством витрины данных».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ст. 78 п. 2 пп. 11–12: до 01.01.2027 — редакция про банковского омбудсмана (ст. 135 п. 3 пп. 2); к кейсу 98-3 не относится.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Закон № 306-VIII от 11.06.2026 — вводится с 01.01.2027; текст поправок не в нашем распоряжении. Горизонт плана (~3 месяца, до конца 2026) изменениями 2027 года не затрагивается.</w:t>
      </w:r>
    </w:p>
    <w:sectPr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2026-08-19T10:32:28.803Z</dcterms:created>
  <dcterms:modified xsi:type="dcterms:W3CDTF">2026-08-19T10:32:28.803Z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