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КОММЕНТАРИЙ ПО КРЕДИТНОЙ ЧАСТИ ФАЙЛА РЕКАЛИБРОВКИ РИСК-АППЕТИТА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Разбор книги на 11 листов с отчётной датой 01.07.2023. Подготовлено БРМ к обсуждению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Что разобрано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 листов, из них 3 кредитных. Проверены формулы, внешние связи, согласованность лимитов и воспроизводимость расчётов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 файла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01.07.2023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Главный вывод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Кредитная часть файла не содержит ни одного вывода и ни одного предложения по уровням. Это подтверждает замечание СВА, а не опровергает его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Второй вывод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Файл впервые документирует, как в Банке устанавливаются уровни: они импортированы из красных зон Плана финансирования капитала и Индикаторов раннего предупреждения ликвидности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Персональные данные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книге отсутствуют. 26 строк, похожих на идентификаторы, — ISIN ценных бумаг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20.08.2026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Порядок изложения: сначала то, что в файле сделано и работает, затем шесть замечаний по кредитной части, затем два результата, которые ценнее самой кредитной части, и в конце — что именно просим предоставить и повестка обсуждения.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Что в файле сделано и работает</w:t>
      </w:r>
    </w:p>
    <w:p>
      <w:pPr>
        <w:spacing w:after="120" w:line="264"/>
      </w:pPr>
      <w:r>
        <w:rPr>
          <w:sz w:val="20"/>
          <w:szCs w:val="20"/>
        </w:rPr>
        <w:t xml:space="preserve">Начинаем с этого, потому что дальше идут замечания, и без этой части они читались бы несправедливо.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Собран единый срез: 25 мер риска, факт на 01.07.2023, действующий лимит, запас в процентах и в миллионах тенге — по всем видам риска сразу, а не по одному.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Построен ряд фактических значений за 10 кварталов, с 01.04.2021 по 01.07.2023, по каждой метрике. Это редкость: в отчёте об уровнях ряда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Прямо посчитано, что произойдёт с k1, k1-2, k2, ACARI, LCR, NSFR и ALRI, если допустимое влияние реализуется полностью. Такой расчёт делается не везде и по замыслу правильный.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Шесть вспомогательных листов — регуляторные формы на ту же дату. Источник виден, цифры восстанавливаются.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Персональных данных в книге нет — в отличие от Приложения № 6 к Методике стресс-тестирования.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Конструкция блока «допустимое влияние» заслуживает отдельного слова.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Заголовок в файле — «Допустимое (в пределах уровней риск-аппетитов) потенциальное влияние на капитал и ликвидность». Это обратная задача: не «что будет при сценарии», а «сколько можно потерять, оставаясь внутри аппетита, и переживут ли это нормативы». Именно так строится обратное стресс-тестирование, которого в нашей практике нет. Замечание к этому блоку ровно одно и оно про название, а не про метод — см. § 2.5.</w:t>
      </w:r>
    </w:p>
    <w:p>
      <w:pPr>
        <w:pStyle w:val="Heading1"/>
        <w:spacing w:after="160" w:before="320"/>
      </w:pPr>
      <w:r>
        <w:t xml:space="preserve">2. Шесть замечаний по кредитной части</w:t>
      </w:r>
    </w:p>
    <w:p>
      <w:pPr>
        <w:pStyle w:val="Heading2"/>
        <w:spacing w:after="120" w:before="240"/>
      </w:pPr>
      <w:r>
        <w:t xml:space="preserve">2.1. Кредитная часть не содержит ни одного вывода и ни одного предложения</w:t>
      </w:r>
    </w:p>
    <w:p>
      <w:pPr>
        <w:spacing w:after="120" w:line="264"/>
      </w:pPr>
      <w:r>
        <w:rPr>
          <w:sz w:val="20"/>
          <w:szCs w:val="20"/>
        </w:rPr>
        <w:t xml:space="preserve">В листе «ИТОГ» колонка «ВЫВОДЫ» заполнена в четырёх строках: коэффициенты достаточности капитала, ACARI, LCR и NSFR, ALRI. По кредитному риску — ни одной строки. В листе «Пересмотр PD-EL» колонка «Предлагаемые лимиты» пуста по всем четырём метрикам EL; заполнена только колонка «Выводы по EL (при MAX PD)» значением «В лимите» четыре раза.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Практическое следствие.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Файл, который называется рекалибровкой, по кредитному риску рекалибровки не содержит: уровни были проверены на непротиворечивость и оставлены как есть. Это подтверждает замечание СВА «не обеспечен ежегодный пересмотр уровней риск-аппетита по кредитному риску» — и подтверждает содержимым документа, а не рассуждением.</w:t>
      </w:r>
    </w:p>
    <w:p>
      <w:pPr>
        <w:pStyle w:val="Heading2"/>
        <w:spacing w:after="120" w:before="240"/>
      </w:pPr>
      <w:r>
        <w:t xml:space="preserve">2.2. Метод кредитной части — проверка согласованности PD и EL, а не калибровка</w:t>
      </w:r>
    </w:p>
    <w:p>
      <w:pPr>
        <w:spacing w:after="120" w:line="264"/>
      </w:pPr>
      <w:r>
        <w:rPr>
          <w:sz w:val="20"/>
          <w:szCs w:val="20"/>
        </w:rPr>
        <w:t xml:space="preserve">Расчёт воспроизводится точно: EL при максимальном PD = лимит PD, умноженный на средневзвешенный LGD.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900"/>
        <w:gridCol w:w="1400"/>
        <w:gridCol w:w="11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 PD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LGD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EL при MAX PD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 EL</w:t>
            </w:r>
          </w:p>
        </w:tc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Необеспеченный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0,637253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9,559 %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Обеспеченный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0,285797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1,429 %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Прочий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0,644042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9,017 %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Общий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0,4757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5,494 %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лимите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Смысл вывода: если PD встанет ровно на свой лимит, EL всё равно останется внутри своего. То есть лимит EL не является связывающим — при действующих LGD он не может сработать раньше лимита PD. Это полезная проверка, и она сделана правильно.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Но это не калибровка.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Ни история показателя, ни риск-ёмкость, ни результаты стресс-теста в кредитной части не используются. Вопрос «правильный ли сам уровень 15 % или 10 %» в файле не ставится и не решается.</w:t>
      </w:r>
    </w:p>
    <w:p>
      <w:pPr>
        <w:pStyle w:val="Heading2"/>
        <w:spacing w:after="120" w:before="240"/>
      </w:pPr>
      <w:r>
        <w:t xml:space="preserve">2.3. Соблюдение лимитов EL определяется выбором корзины МСФО</w:t>
      </w:r>
    </w:p>
    <w:p>
      <w:pPr>
        <w:spacing w:after="120" w:line="264"/>
      </w:pPr>
      <w:r>
        <w:rPr>
          <w:sz w:val="20"/>
          <w:szCs w:val="20"/>
        </w:rPr>
        <w:t xml:space="preserve">Лист «Мера риска по PD и EL» считает одни и те же метрики в трёх периметрах. В отчёт идёт средний столбец.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2200"/>
        <w:gridCol w:w="1700"/>
        <w:gridCol w:w="1200"/>
      </w:tblGrid>
      <w:tr>
        <w:trPr>
          <w:tblHeader/>
        </w:trPr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Корзина 1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Корзины 1+2 (в отчёт)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Вся корзина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3,767 %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4,141 %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9,423 %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7,032 %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7,609 %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15,893 %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1,227 %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1,393 %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3,541 %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3,341 %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3,631 %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26,366 %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Контраргумент называем первым, потому что он сильный.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Считать EL по Stage 1–2 — обычная и защитимая практика. Stage 3 уже обесценен и несёт индивидуальные провизии; смешение ожидаемых и понесённых потерь метрику искажает. Выбор периметра сам по себе не дефект.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Дефект в другом.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Периметр не назван ни в заявлении риск-аппетита, ни в Приложении к ВНД: там написано просто «Уровень ожидаемых потерь по необеспеченному портфелю РБ, не более 10 %». Читатель отчёта не может знать, что метрика считается без Stage 3, а на всей корзине она составляет 15,89 % против того же лимита 10 %. Альтернативный расчёт лежит в том же файле — значит неоднозначность была видна в 2023 году и не снята до сих пор.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зафиксировать периметр в паспорте метрики одной строкой — «корзины 1 и 2 МСФО 9» — и добавить эту оговорку в отчёт. Стоимость нулевая, вопрос закрывается навсегда.</w:t>
      </w:r>
    </w:p>
    <w:p>
      <w:pPr>
        <w:pStyle w:val="Heading2"/>
        <w:spacing w:after="120" w:before="240"/>
      </w:pPr>
      <w:r>
        <w:t xml:space="preserve">2.4. Внутри одного листа лимит одной метрики записан тремя разными значениями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1900"/>
        <w:gridCol w:w="1900"/>
        <w:gridCol w:w="1100"/>
      </w:tblGrid>
      <w:tr>
        <w:trPr>
          <w:tblHeader/>
        </w:trPr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«корзина 1»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«корзины 1+2»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Блок «вся корзина»</w:t>
            </w:r>
          </w:p>
        </w:tc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Действует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9 %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7 %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прочих (карты)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Верна одна запись из трёх. Существенно, что расходится подпись, а не расчёт: числа считаются правильно, ошибочна колонка «Риск-аппетит». Но именно по ней читается вывод «в лимите» или «не в лимите», и по EL обеспеченного портфеля запас из-за этого завышен на 3 пп.</w:t>
      </w:r>
    </w:p>
    <w:p>
      <w:pPr>
        <w:pStyle w:val="Heading2"/>
        <w:spacing w:after="120" w:before="240"/>
      </w:pPr>
      <w:r>
        <w:t xml:space="preserve">2.5. Столбцы «сценарии» — это линейка от факта до лимита</w:t>
      </w:r>
    </w:p>
    <w:p>
      <w:pPr>
        <w:spacing w:after="120" w:line="264"/>
      </w:pPr>
      <w:r>
        <w:rPr>
          <w:sz w:val="20"/>
          <w:szCs w:val="20"/>
        </w:rPr>
        <w:t xml:space="preserve">По всем метрикам кризисный сценарий равен лимиту, а негативный — точное среднее арифметическое базового и кризисного.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Негативный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</w:t>
            </w:r>
          </w:p>
        </w:tc>
        <w:tc>
          <w:tcPr>
            <w:tcW w:type="dxa" w:w="17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80,84 %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87,92 %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1,88 %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2,44 %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3,417 %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3,458 %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3,50 %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3,5 %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4,527 %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6,763 %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/ 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0,666 %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0,833 %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1,00 %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1 %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Операционный риск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548,4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1 274,2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2 000,0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2 000 млн ₸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9,78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34,89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60,001 млн ₸</w:t>
            </w:r>
          </w:p>
        </w:tc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60 млн 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Совпадение точное по всем семи строкам, включая знаки после запятой. Содержательным является только базовый столбец; два других получены арифметикой из него и из лимита.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И снова контраргумент первым: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для блока «допустимое влияние» такая конструкция корректна. Если задача — измерить, сколько можно потерять внутри аппетита, то «кризис = лимит» является определением, а не подгонкой.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Претензия ровно одна — название.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Столбцы подписаны «Базовый / Негативный / Кризисный сценарий», и вывод файла ссылается на «наложение стрессов базового сценария» как на стресс-тест. Читатель, не открывший формулы, прочитает это как результат сценарного расчёта. Достаточно переименовать столбцы в «доля допустимого влияния: 0 — 50 — 100 %», и замечание снимается целиком.</w:t>
      </w:r>
    </w:p>
    <w:p>
      <w:pPr>
        <w:pStyle w:val="Heading2"/>
        <w:spacing w:after="120" w:before="240"/>
      </w:pPr>
      <w:r>
        <w:t xml:space="preserve">2.6. Кредитные листы не воспроизводятся ни из чего внутри книги</w:t>
      </w:r>
    </w:p>
    <w:p>
      <w:pPr>
        <w:spacing w:after="120" w:line="264"/>
      </w:pPr>
      <w:r>
        <w:rPr>
          <w:sz w:val="20"/>
          <w:szCs w:val="20"/>
        </w:rPr>
        <w:t xml:space="preserve">Это техническое замечание, но оно определяет, кого звать на разговор.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1700"/>
        <w:gridCol w:w="1600"/>
      </w:tblGrid>
      <w:tr>
        <w:trPr>
          <w:tblHeader/>
        </w:trPr>
        <w:tc>
          <w:tcPr>
            <w:tcW w:type="dxa" w:w="2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Лист</w:t>
            </w:r>
          </w:p>
        </w:tc>
        <w:tc>
          <w:tcPr>
            <w:tcW w:type="dxa" w:w="3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Формул / значений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Источник виден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_pnm01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Пруденциальные нормативы, прил. 2 к пост. № 75 от 08.05.2015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/ 403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_pnm21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Расшифровка LCR, прил. 20-1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/ 485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_pnm22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Расшифровка NSFR, прил. 20-2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/ 256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_700nd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1 635 балансовых счетов формы 700-Н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/ 4 886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_пцб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Портфель ЦБ: ISIN, котировки, шоки 0,03 / 0,33 / 0,64 %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232 / 750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_vp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Валютные позиции за 26–30.06.2023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42 / 1 685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Мера риска по PD и EL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PD, LGD, EAD, провизии по корзинам МСФО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891 / 712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 PD-EL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Свод по кредитным метрикам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17 / 100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_расчет CoR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Портфель и провизии КБ и МСБ помесячно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32 / 185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внешняя связь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Единственная внешняя связь книги ведёт из листа «_расчет CoR» на файл «COR по валютным 01.07.2023.xlsx», лежащий в локальном кэше Outlook. Разрезы внешней книги: Банк, КБ + Приват-Банкинг, КБ, КБ RS, КБ WAY4, Приват-банкинг, МСБ, РБ, РБ RS, РБ WAY4 — то есть по бизнес-линиям и по учётным системам. Для всех, кроме владельца этого почтового ящика, связь мертва: стоимость риска из файла не пересчитывается.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прямой ответ на вопрос «кто может показать расшифровку»: не владелец книги, а владельцы трёх входов — расчёта PD и LGD по корзинам МСФО, провизий и списаний, и файла CoR в разрезе бизнес-линий и систем RS / WAY4.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Два результата, которые важнее кредитной части</w:t>
      </w:r>
    </w:p>
    <w:p>
      <w:pPr>
        <w:spacing w:after="120" w:line="264"/>
      </w:pPr>
      <w:r>
        <w:rPr>
          <w:sz w:val="20"/>
          <w:szCs w:val="20"/>
        </w:rPr>
        <w:t xml:space="preserve">Оба находятся в блоке капитала и ликвидности, но отвечают на вопросы, которые мы задавали по кредитному контуру.</w:t>
      </w:r>
    </w:p>
    <w:p>
      <w:pPr>
        <w:pStyle w:val="Heading2"/>
        <w:spacing w:after="120" w:before="240"/>
      </w:pPr>
      <w:r>
        <w:t xml:space="preserve">3.1. Файл сам показывает, что сумма уровней выходит за риск-ёмкость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1500"/>
        <w:gridCol w:w="1500"/>
        <w:gridCol w:w="1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Предл. уровень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Регуляторный минимум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7,6 %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6,2 %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4,8 %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k1-2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8,6 %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7,0 %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5,5 %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11,0 %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10,1 %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6,9 %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10,0 %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9,67 %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8,77 %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7,23 %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5,73 %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104,1 %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99,2 %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94,2 %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100 % с 01.07.2024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103,9 %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102,5 %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101,2 %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Вывод файла: «при достижении этих значений + наложении стрессов базового сценария, регуляторные нормативы будут соблюдены с запасом».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Запас составляет 0,1 пп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k1, k1-2 и k2 одновременно — и только в базовом сценарии. В стрессовом и кризисном регуляторные минимумы нарушаются по всем трём коэффициентам и по ACARI.</w:t>
      </w:r>
    </w:p>
    <w:p>
      <w:pPr>
        <w:spacing w:after="120" w:line="264"/>
      </w:pPr>
      <w:r>
        <w:rPr>
          <w:sz w:val="20"/>
          <w:szCs w:val="20"/>
        </w:rPr>
        <w:t xml:space="preserve">По ликвидности тот же файл сформулирован честнее: там прямо оговорено «LCR в базовом сценарии, NSFR во всех сценариях». По капиталу такой оговорки нет — вывод дан без указания, что он верен для одного сценария из трёх. Это несимметрично, и поправить стоит именно капитальную формулировку.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Для нашего контура это ответ на давний вопрос: буфер 0,5 пп между уровнем риск-аппетита и регуляторным минимумом не является буфером в стрессе. Доказано числами самого файла, а не нашей моделью.</w:t>
      </w:r>
    </w:p>
    <w:p>
      <w:pPr>
        <w:pStyle w:val="Heading2"/>
        <w:spacing w:after="120" w:before="240"/>
      </w:pPr>
      <w:r>
        <w:t xml:space="preserve">3.2. Происхождение уровней восстановлено — они взяты из красных зон других документов</w:t>
      </w:r>
    </w:p>
    <w:p>
      <w:pPr>
        <w:spacing w:after="120" w:line="264"/>
      </w:pPr>
      <w:r>
        <w:rPr>
          <w:sz w:val="20"/>
          <w:szCs w:val="20"/>
        </w:rPr>
        <w:t xml:space="preserve">Дословно из листа «ИТОГ»: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«предлагаемые уровни (8,5 %, 9,5 % и 11 %) соответствуют установленным Финансовым департаментом уровням красной зоны Плана финансирования капитала».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«предлагаемые уровни (105 %) соответствуют установленным уровням красной зоны Индикаторов раннего предупреждения ликвидности».</w:t>
      </w:r>
    </w:p>
    <w:p>
      <w:pPr>
        <w:spacing w:after="120" w:line="264"/>
      </w:pPr>
      <w:r>
        <w:rPr>
          <w:sz w:val="20"/>
          <w:szCs w:val="20"/>
        </w:rPr>
        <w:t xml:space="preserve">Это первый документ, в котором происхождение уровня риск-аппетита указано явно. Уровни не рассчитывались — они импортированы. Конструкция сама по себе разумная: аппетит совмещается с порогом раннего предупреждения смежной системы. Но из неё следуют два вопроса, которые мы предлагаем вынести на обсуждение.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Если уровень риск-аппетита равен красной зоне Плана финансирования капитала, то какой документ является первичным и что происходит при изменении одного из них. Правила синхронизации сейчас нет.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Почему в Приложении № 2 к Методике красная зона по k1 стоит на 9,0 % — то есть на 0,5 пп выше уровня риск-аппетита 8,5 %, — а не совпадает с ним. Получается три разных «красных зоны» по одному коэффициенту в трёх документах.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Для кредитного риска источника такого рода нет вообще: ни Плана финансирования, ни системы индикаторов раннего предупреждения по кредитному портфелю не существует. Именно поэтому по 14 кредитным метрикам уровни не имеют восстановимого происхождения — брать их было неоткуда.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Что просим предоставить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000"/>
        <w:gridCol w:w="21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</w:t>
            </w:r>
          </w:p>
        </w:tc>
        <w:tc>
          <w:tcPr>
            <w:tcW w:type="dxa" w:w="2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 кому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Расчёт PD, LGD и EAD по корзинам МСФО на 01.07.2023 — тот, из которого взяты значения листа «Мера риска по PD и EL»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Без него кредитная часть файла не воспроизводится: 891 формула считает по вставленным значениям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PD и LGD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Файл «COR по валютным» на 01.07.2023 либо его действующий аналог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внешняя связь книги; из неё считается стоимость риска по КБ и МСБ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файла CoR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Подтверждение периметра метрик EL и PD: корзины 1 и 2 МСФО 9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Определяет, соблюдается лимит или нарушен: 7,61 % против 15,89 % по одной и той же метрике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методологии РА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План финансирования капитала в части красных зон и Индикаторы раннего предупреждения ликвидности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Первичный источник действующих уровней по капиталу и ликвидности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департамент,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Решение уполномоченного органа по итогам этого файла: что из предложенного было утверждено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Уровни 8,5 / 9,5 / 11 % и ACARI 13 % в действующем отчёте присутствуют, ALRI — 85 %. Нужна дата и реквизиты решения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секретарь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Аналогичный файл за 2024, 2025 и 2026 годы, если он составлялся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Определяет, был ли пересмотр после 2023 года. Это прямой предмет замечания СВА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методологии РА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Отдельно по позиции 6.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такого файла за 2024–2026 годы нет, это и есть фактура для ответа СВА, и её лучше зафиксировать письменно, чем искать дальше. Отсутствие документа — тоже результат, и он датируется.</w:t>
      </w:r>
    </w:p>
    <w:p>
      <w:pPr>
        <w:pStyle w:val="Heading1"/>
        <w:spacing w:after="160" w:before="320"/>
      </w:pPr>
      <w:r>
        <w:t xml:space="preserve">5. Повестка обсуждения</w:t>
      </w:r>
    </w:p>
    <w:p>
      <w:pPr>
        <w:spacing w:after="120" w:line="264"/>
      </w:pPr>
      <w:r>
        <w:rPr>
          <w:sz w:val="20"/>
          <w:szCs w:val="20"/>
        </w:rPr>
        <w:t xml:space="preserve">Предлагаем 30 минут и четыре вопроса. Первые два решаются на месте, вторые два требуют решения.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2200"/>
        <w:gridCol w:w="20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Кто нужен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метрик EL и PD: подтверждаем корзины 1 и 2 и вносим оговорку в отчёт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Решается на месте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Методология РА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 расхождения в колонке «Риск-аппетит» листа «Мера риска по PD и EL» — исправляем подписи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Решается на месте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Методология РА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Был ли пересмотр кредитных уровней после 2023 года. Если нет — фиксируем письменно для ответа СВА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Требует решения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Методология РА, постановщик задачи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 разные красные зоны по k1 в трёх документах: какой первичный и как синхронизируются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Требует решения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департамент, казначейство, методология РА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Что мы приносим на обсуждение со своей стороны: восстановленную историю уровня по коэффициенту топ-20 (250 % до 13.02.2023, 95 % с 20.02.2023, 521 недельное наблюдение за десять лет), методику калибровки сигнальных уровней с шестью тестами на устаревание, и разложение пробоя мая 2026 года, в котором 74 % скачка сделаны сокращением капитала, а не ростом портфеля.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Все числа выше получены из присланного файла и проверены на воспроизводимость: формулы пересчитаны, совпадения указаны с точностью до знаков после запятой. Там, где вывод является нашей интерпретацией, а не арифметикой, это отмечено словом «предложение» или «вопрос».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2026-08-20T11:07:05.397Z</dcterms:created>
  <dcterms:modified xsi:type="dcterms:W3CDTF">2026-08-20T11:07:05.412Z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