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План действий по превышению лимита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Отношение неработающих займов к ссудному портфелю ≥ 10 %: регуляторный дедлайн, состав плана мероприятий, меры и практика взаимодействия с АРРФР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Структура собрана из трёх слоёв: обязательный минимум п. 99 Нормативов № 85, надзорная практика ЕС по работе с неработающими кредитами (EBA GL/2018/06, ECB NPL Guidance) и практика взаимодействия с регулятором. Позиции, требующие фактических данных банка, помечены «ЗАПОЛНИТЬ».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При самостоятельном выявлении превышения план мероприятий представляется в АРРФР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в течение 5 рабочих дней со дня выявления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(п. 102). Представленный план переводит превышение в режим «не нарушение» (п. 99, часть третья); непредставленный оставляет его нарушением. Скорость подачи буквально меняет правовую квалификацию события.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0. Немедленные шаги — дни 0–5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Зафиксировать факт и дату выявления письменно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(служебная записка или протокол): от этой даты идут 5 рабочих дней; кто выявил — банк или АРРФР — меняет основание (п. 102 либо п. 99).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Заморозить расчёт: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НЗ, СП, дата среза, методика (gross, критерии № 61 плюс POCI, периметр с МБК и обратным РЕПО). Одно число во всех документах, расчёт воспроизводим из первичных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Разложить сработку на числитель и знаменатель: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вклад роста НЗ против вклада сжатия СП за 6–12 месяцев. «Портфель испортился» и «портфель сжался» лечатся разными мерами.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Прогнать калькулятор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(calc/limits98.py) на помесячном ряду: сработали ли заодно 98-1 и 98-2 и что даёт проекция п. 105. Если сработали — п. 103 пп. 1 сворачивает всё в один план по 98-3.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Рассчитать КПП помесячно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(провизии 3 стадии / кредиты 3 стадии и ПСКО): по № 119 (прил. 1 стр. 9) шесть последовательных месяцев с ДС3 ≥ 10 % при КПП &lt; 40 % — основной признак для усиленного надзора; при КПП ≥ 40 % счётчик не собирается.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руководство БРМ → Правление / КРВК → СД (п. 12-1 Политики РА). Кандидатуры ответственных руководящих работников согласовать на этом шаге — они нужны в тексте плана.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Представить план в срок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даже первой версией с консервативными оценками; дорабатывать через процедуру замечаний п. 100.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1. Детальный анализ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Сегментация НЗ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обязательный разрез ФЛ / ЮЛ (п. 99), внутри: продукт, DPD-бакет, винтаж выдачи, признак реструктуризации, обеспеченность, стадия, POCI отдельно. Готовые входы — матрицы Phase C и cure pool контура Stage 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Декомпозиция динамики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 уравнению баланса НЗ за каждый месяц: приток (SICR → дефолт, новые 90+) минус отток (cure, списания, продажи, реализация залогов, погашения) плюс-минус эффект знаменателя. Каждому компоненту — свой владелец меры.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срез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параллельно проверить 98-7 и 98-8; если они у порога, план сразу строить на все сработавшие лимиты.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Сверка с внешним эталоном: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 против Кредитного регистра и формы 700Н (межформенные контроли приложения К контура AQR). Расхождение, найденное регулятором после подачи плана, дороже найденного до.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2. Прогноз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Считать двумя способами и показывать оба. Первый — по формуле регулятора (п. 105, линейная экстраполяция полугодовой динамики на 12 месяцев): АРРФР увидит именно эту цифру, её нужно знать раньше регулятора. Второй — собственный прогноз (roll-rates по DPD-бакетам, винтажный анализ) с драйверами притока и оттока и сценарием исполнения мер. Расхождение между ними — не проблема, а содержание раздела «обоснование прогноза»: линейная экстраполяция не учитывает мер, сезонности и разовых событий.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Негативные влияния на деятельность (требование п. 99): давление на провизии и капитал, стоимость фондирования, ограничения роста — по каждому одно-два предложения с числом, без каталога ужасов.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3. Меры — по обе стороны дроби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Каждая мера — с владельцем, сроком и ожидаемым эффектом на НЗ/СП в процентных пунктах; сумма эффектов складывается в мост «текущее значение → менее 10 %» с запасом.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Числитель вниз (отток НЗ)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Механизм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Интенсификация взыскания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приоритизация 90+ по сумме × вероятности возврата, по бакетам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коллекшн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Меню реструктуризаций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кратко- и долгосрочные инструменты; контроль критериев выхода (6/12 месяцев, снижение EAD) и скрытых реструктуризаций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7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Реализация залогов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синхронно с журналами B2E/B2F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Продажа / цессия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ОУСА, коллекторские организации; влияние на P&amp;L посчитать до, а не после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юристы, ФД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Списание за баланс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политике списаний; списанная задолженность остаётся объектом раскрытия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ДБУиО, налоги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Каталог мер — EBA GL/2018/06, разд. 5; ECB NPL Guidance, гл. 2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Приток перекрыть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Ужесточение отсечения в выдаче: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порог по мастер-шкале (полоса 34–50 — стоп) — готовый инструмент Приложения № 4 к Политике.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Стоп-факторы по сегментам: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худшие винтажи и продукты из анализа фазы 1.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Ранняя работа с 61–90: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ряд 98-2 — встроенный опережающий индикатор; каждая петля «61-90 → 90+» — прямой приток в НЗ.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ЗНАМЕНАТЕЛЬ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Если вклад сжатия ссудного портфеля существенен — показать это в плане явно и закрывать мерами роста здорового портфеля, а не разгоном выдач ради дроби. Регулятор считает ежемесячно (п. 106) и увидит структуру роста.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4. Помесячный контроль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Болванка обязательной таблицы плана (п. 99: мероприятия по каждому отчётному периоду, в разрезе ФЛ и ЮЛ):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4"/>
        <w:gridCol w:w="1349"/>
        <w:gridCol w:w="1349"/>
        <w:gridCol w:w="1349"/>
        <w:gridCol w:w="1349"/>
        <w:gridCol w:w="1352"/>
      </w:tblGrid>
      <w:tr>
        <w:trPr>
          <w:tblHeader/>
        </w:trP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№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Мероприятие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Разрез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Период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Эффект, п.п.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Срок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ФЛ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…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Структура — п. 99 Нормативов № 85; наполнение — после получения рядов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Эффект каждой строки измерим и проверяем по отчётности.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Сумма эффектов закрывает разрыв до менее 10 %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Помесячная контрольная точка — собственный расчёт НЗ/СП до регуляторного цикла п. 106.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Отклонение факта от плана на контрольной точке — триггер пересмотра плана, а не молчания.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5. Практика взаимодействия с регулятором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Опережающее раскрытие.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Самостоятельное выявление плюс план в 5 дней — сильнейшая переговорная позиция: формально «не нарушение», репутационно — «банк управляет проблемой». Ждать письма АРРФР — отдать инициативу.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Одна точка входа.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Один владелец коммуникации; все письма, замечания и обсуждения — через него, с протоколированием. Согласование от имени подразделения, а не через индивидуальные договорённости исполнителя.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Одно число во всех документах.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НЗ/СП в плане, форме 50, ответах на замечания и отчёте по ВПОДК (Таблица 2, графы 9–10) сходится до знака: расхождение между собственными документами — главный генератор надзорных вопросов.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Пакет приложений к плану: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методика расчёта НЗ, помесячный ряд, декомпозиция числитель/знаменатель, расчёт проекции п. 105, мост мер до менее 10 %. Любое число пересчитывается из приложенных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Процедура замечаний — рабочий инструмент.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П. 100 прямо предусматривает совместные обсуждения и письменные обоснования несогласия; спорить с замечанием можно и нужно письменно, с расчётом.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Хронология в деле.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Реестр: дата выявления, дата подачи, входящие и исходящие, сроки пп. 99–101. Пропуск регуляторного срока обнуляет любую аналитику.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Аргумент лестницы.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Раздел 6 Закона № 258-VIII выстраивает каскад: признаки ухудшения (ст. 85) → усиленный надзор (ст. 87) → восстановление (ст. 89) → урегулирование (ст. 92). Сработка лимита без плана — вход в признак ст. 85 п. 2 пп. 1; представленный план по п. 99 главы 11 удерживает банк на нулевой ступени. Выход из усиленного надзора — полгода безупречного соблюдения нормативов (ст. 87 п. 6), поэтому план в 5 дней несопоставимо дешевле.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6. Внутренний контур — чтобы не повторилось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Ввести НЗ/СП в заявление РА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пересмотре уровней: трёхзонная лестница ниже регуляторных 10 % (ориентир: зелёная &lt; 8 %, жёлтая 8–9,5 %, красная ≥ 9,5 %; калибровка по волатильности метрики — той же методикой, что сигнальный уровень топ-20). Сработка регуляторного лимита без внутреннего зеркала — сама по себе аргумент существенности по п. 16 пп. 3 Правил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СРП по 98-1/98-2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34 пп. 5, 6 Правил № 86): ежемесячный автоматический пересчёт двух рядов и проекции п. 105; жёлтый сигнал — прогнозируется «негативное влияние», красный — сработал триггер монотонности или 5 %.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 внутренний расчёт всех пяти лимитов БРМ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(98-1/2/3/7/8) калькулятором контура — до выхода регуляторной отчётности, чтобы п. 106 никогда не опережал банк.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Условие корректировки уровней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17 пп. 4 Правил № 86): внести в ВНД правило «изменение регуляторного лимита влечёт пересмотр внутреннего» — та же дыра, что зафиксирована по LCR/NSFR (Г14).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Ориентиры лучшей практики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методологии, не для комплаенса; реквизиты перед цитированием проверить.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EBA GL/2018/06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Guidelines on management of non-performing and forborne exposures: порог внимания NPL ratio 5 %, стратегия NPE, операционный план, выделенные подразделения, политика forbearance.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ECB Guidance to banks on non-performing loans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 и Addendum (2018): сегментация, количественные цели по портфелям и горизонтам, самооценка возможностей, календарное провизирование.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BCBS, Prudential treatment of problem assets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(2017): согласование определений NPE / Stage 3 / 90+.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FSB, Principles for an Effective Risk Appetite Framework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(2013): регуляторные лимиты как жёсткие границы риск-ёмкости внутри RAF.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Открытые вопросы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Дата и субъект выявления превышения (определяет дедлайн).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Фактические ряды для калькулятора: ЗП90, ЗП61-90, НЗ, СП за 7+ месяцев; потребительский срез для 98-7/98-8.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Статус системной значимости Банка (п. 108; связан с Г12).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Владельцы мер вне БРМ (коллекшн, ФД, ДБУиО, юристы) — согласовать до включения в перечень ответственных.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Порядок утверждения плана внутри банка (Правление / СД) до подачи в АРРФР — проверить по Уставу и Политике РА.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2026-08-19T11:56:18.992Z</dcterms:created>
  <dcterms:modified xsi:type="dcterms:W3CDTF">2026-08-19T11:56:18.992Z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