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ОЦЕНКА АКТУАЛЬНОСТИ ДЕЙСТВУЮЩИХ УРОВНЕЙ РИСК-АППЕТИТА ПО КРЕДИТНОМУ РИСКУ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Рабочая версия аналитической записки по мероприятию 1 плана мероприятий. Анализ на девятиквартальном ряде Q2 2024 — Q2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Рабочая версия v0.1. Не для подписания. Два раздела не заполнены — см. § 1.2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Замечание СВА (высокий уровень): не обеспечен ежегодный пересмотр уровней риск-аппетита по кредитному риску. Мероприятие 1, срок до 30.09.2026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мер риска по кредитному риску: КБ — 3, МСБ — 2, РБ — 9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отчёта № 50 на 01.07.2026, листы 50-1, 50-2, 50-5; Приложение № 3 и № 4 к Политике определения аппетита к риску; Правила № 85 и № 86 от 28.04.2026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18.08.2026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Ряд из девяти кварталов взят с листа «Выводы» (форма 50-5) того же отчёта. Отдельного сбора истории не потребовалось.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Основной вывод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 девять кварталов из четырнадцати кредитных лимитов сработал ровно один — и сработал сразу нарушением, без предупреждения.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отношения топ-20 крупных заёмщиков к собственному капиталу восемь кварталов держался в диапазоне 69,5–77,1 %, затем вырос до 92,66 % в Q1 2026 и до 101,50 % в Q2 2026 при лимите не более 95 %. Остальные тринадцать метрик за весь период ни разу не приблизились к своим уровням.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Утилизация лимита вводит в заблуждение.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отношению «факт / лимит» пять метрик розничного бизнеса выглядят активными: 70–76 %. Но если измерить расстояние до лимита в квартальных стандартных отклонениях самой метрики, картина меняется полностью: PD по необеспеченным кредитам отстоит от лимита на 45 σ, PD по обеспеченным — на 25 σ, PD по прочим — на 91 σ. При квартальной частоте расчёта это означает, что лимит недостижим в любом обозримом горизонте. Высокая утилизация здесь отражает не близость к лимиту, а то, что лимит установлен вблизи исторического уровня показателя и никогда не пересматривался.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Активны по динамике две метрики из четырнадцати: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топ-20 (уже нарушен) и уровень ожидаемых потерь по необеспеченному портфелю РБ — 9,1 σ до лимита, причём в Q2 2026 он показал максимальный рост за весь ряд, +0,555 пп после восьми кварталов снижения.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предложение: уровни по кредитному риску подлежат актуализации, но не равномерной. По одной метрике требуется восстановление в лимит и установление сигнального уровня; по одной — усиление наблюдения; по девяти — пересмотр самих уровней, поскольку в действующей калибровке они не выполняют контрольной функции; по двум — замена метрики. Детально — § 8.</w:t>
      </w:r>
    </w:p>
    <w:p>
      <w:pPr>
        <w:pStyle w:val="Heading2"/>
        <w:spacing w:after="120" w:before="240"/>
      </w:pPr>
      <w:r>
        <w:t xml:space="preserve">1.1. Что подтверждается данными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Сигнальный уровень по топ-20 в диапазоне 78–92 % от собственного капитала сработал бы в Q1 2026, за квартал до нарушения, и не дал бы ни одного ложного срабатывания на предшествующих семи кварталах.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Ни один сигнальный уровень по метрикам EL и PD розничного бизнеса не сработал бы ни разу за девять кварталов при любой разумной калибровке.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ожидаемой стоимости риска по КБ отрицателен восемь кварталов из девяти. Односторонний лимит сверху 3 % на такой показатель не может сработать.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Доля портфеля МСБ в полосе рейтингов «Низкий» сократилась с 63,4 % на 01.01.2025 до 39,0 % на 01.07.2026, а доля полосы «Умеренный» выросла с 34,5 % до 60,0 %. Действующая метрика кредитоспособности этого сдвига не показывает: она фиксирует только выдачи выше уровня отсечения 33, которых за период не было.</w:t>
      </w:r>
    </w:p>
    <w:p>
      <w:pPr>
        <w:pStyle w:val="Heading2"/>
        <w:spacing w:after="120" w:before="240"/>
      </w:pPr>
      <w:r>
        <w:t xml:space="preserve">1.2. Чего в записке пока нет</w:t>
      </w:r>
    </w:p>
    <w:p>
      <w:pPr>
        <w:spacing w:after="120" w:line="264"/>
      </w:pPr>
      <w:r>
        <w:rPr>
          <w:sz w:val="20"/>
          <w:szCs w:val="20"/>
        </w:rPr>
        <w:t xml:space="preserve">Два раздела, обязательных по формулировке замечания и по п. 18 Правил № 86, не заполнены и требуют внешних входов.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нужно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Результаты стресс-тестирования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Оценка приемлемости уровней в стрессовом сценарии. Требуется актуальный стресс-тест в разрезе метрик риск-аппетита. По SIPOC (Приложение № 6 к Политике) сценарии обновляются раз в год при целевом показателе раз в полгода — необходимо подтвердить дату последнего обновления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Происхождение действующих уровней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Протоколы СД, которыми утверждались уровни, и расчёты, на которых они основаны. Без них вывод «сохранить либо изменить» опирается только на наблюдаемую динамику, а не на исходное обоснование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Динамика за девять кварталов</w:t>
      </w:r>
    </w:p>
    <w:p>
      <w:pPr>
        <w:spacing w:after="120" w:line="264"/>
      </w:pPr>
      <w:r>
        <w:rPr>
          <w:sz w:val="20"/>
          <w:szCs w:val="20"/>
        </w:rPr>
        <w:t xml:space="preserve">Значения в процентах. Источник — форма 50-5. Полужирным выделено нарушение лимита.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2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Мера риска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26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Топ-20 / СК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73,74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74,18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69,52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76,74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77,07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75,62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92,66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101,50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КБ / ПБ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−1,77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−1,28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МСБ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−0,85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общий РБ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необеспеченный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7,91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7,57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1,64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прочий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3,24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необеспеченные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10,96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денежные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товарные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10,89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10,59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5,01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прочие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4,19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3,78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Для сопоставления приведены и метрики за пределами кредитного периметра, поскольку они меняют общую картину: VaR вырос с 0,25 % в Q4 2025 до 0,55 % в Q2 2026, то есть более чем вдвое за два квартала при лимите 1 %; коэффициент достаточности собственного капитала k2 снизился с 27,6 % в Q3 2025 до 22,9 % в Q2 2026; агрегированный уровень риска ликвидности ALRI в Q1 2026 составил 97,32 % при границе зелёной зоны 100 %, а NSFR — 113,11 % при границе 115 %.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Последнее означает, что в Q1 2026 два триггера из восьми установленных находились в жёлтой зоне.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Триггеры установлены Приложением № 2 к Методике определения и расчёта агрегированных уровней риск-аппетита. Вопрос, какие корректирующие меры были приняты по факту входа в жёлтую зону, относится к мероприятию 4 и здесь только фиксируется.</w:t>
      </w:r>
    </w:p>
    <w:p>
      <w:pPr>
        <w:pStyle w:val="Heading1"/>
        <w:spacing w:after="160" w:before="320"/>
      </w:pPr>
      <w:r>
        <w:t xml:space="preserve">3. Расстояние до лимита в единицах собственной волатильности</w:t>
      </w:r>
    </w:p>
    <w:p>
      <w:pPr>
        <w:spacing w:after="120" w:line="264"/>
      </w:pPr>
      <w:r>
        <w:rPr>
          <w:sz w:val="20"/>
          <w:szCs w:val="20"/>
        </w:rPr>
        <w:t xml:space="preserve">Утилизация показывает, какую долю лимита занимает факт. Она ничего не говорит о том, способен ли показатель дойти до лимита. Второй столбец справа отвечает на этот вопрос: расстояние до лимита, делённое на стандартное отклонение квартальных приращений самой метрики за девять кварталов.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400"/>
        <w:gridCol w:w="14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σ прирост.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Расстояние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 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2,93 *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−6,50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0,27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10,59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23,9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5,01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1,99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11,05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3,95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РБ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2,76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10,96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47,6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1,64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5,36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3,66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−0,35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н/п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0,74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(вне периметра)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По коэффициенту топ-20 σ рассчитана по стабильному участку Q2 2024 — Q4 2025, до скачка. На полном ряде σ составляет 6,37 пп и не характеризует режим, в котором показатель находился восемь кварталов.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Порог интерпретации. Расстояние до 10 σ означает, что лимит достижим при неблагоприятном стечении нескольких кварталов и метрика заслуживает сигнального уровня. Расстояние свыше 20 σ означает, что лимит не будет достигнут иначе как при структурном разрыве — смене модели, методики или периметра, — и тогда сработает не риск, а изменение определения показателя. Из тринадцати метрик с положительным расстоянием девять находятся за пределами 20 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Коэффициент топ-20 крупных заёмщиков к собственному капиталу</w:t>
      </w:r>
    </w:p>
    <w:p>
      <w:pPr>
        <w:pStyle w:val="Heading2"/>
        <w:spacing w:after="120" w:before="240"/>
      </w:pPr>
      <w:r>
        <w:t xml:space="preserve">4.1. Что произошло</w:t>
      </w:r>
    </w:p>
    <w:p>
      <w:pPr>
        <w:spacing w:after="120" w:line="264"/>
      </w:pPr>
      <w:r>
        <w:rPr>
          <w:sz w:val="20"/>
          <w:szCs w:val="20"/>
        </w:rPr>
        <w:t xml:space="preserve">Восемь кварталов показатель находился в диапазоне 69,52–77,07 % при среднем 74,4 % и стандартном отклонении квартальных приращений 2,93 пп. В Q1 2026 он вырос на 17,04 пп до 92,66 %, в Q2 2026 — ещё на 8,85 пп до 101,50 %. Лимит 95 % пробит между Q1 и Q2 2026.</w:t>
      </w:r>
    </w:p>
    <w:p>
      <w:pPr>
        <w:spacing w:after="120" w:line="264"/>
      </w:pPr>
      <w:r>
        <w:rPr>
          <w:sz w:val="20"/>
          <w:szCs w:val="20"/>
        </w:rPr>
        <w:t xml:space="preserve">Величина превышения на отчётную дату — 6,50 пп, что соответствует 28 771 млн ₸ при собственном капитале 442 346 млн ₸ и сумме топ-20 в 448 999,8 млн ₸.</w:t>
      </w:r>
    </w:p>
    <w:p>
      <w:pPr>
        <w:pStyle w:val="Heading2"/>
        <w:spacing w:after="120" w:before="240"/>
      </w:pPr>
      <w:r>
        <w:t xml:space="preserve">4.2. Числитель или знаменатель</w:t>
      </w:r>
    </w:p>
    <w:p>
      <w:pPr>
        <w:spacing w:after="120" w:line="264"/>
      </w:pPr>
      <w:r>
        <w:rPr>
          <w:sz w:val="20"/>
          <w:szCs w:val="20"/>
        </w:rPr>
        <w:t xml:space="preserve">Разложение роста требует данных, которых в отчёте нет: динамика суммы топ-20 и собственного капитала по отдельности приводится только на отчётную дату. Косвенный признак: коэффициент достаточности собственного капитала k2 за тот же период снизился с 27,60 % в Q3 2025 до 22,10 % в Q1 2026 и 22,90 % в Q2 2026, то есть капитал сокращался. Одновременный рост числителя и сокращение знаменателя объясняли бы скачок, но это гипотеза, а не установленный факт.</w:t>
      </w:r>
    </w:p>
    <w:p>
      <w:pPr>
        <w:spacing w:after="120" w:line="264"/>
      </w:pPr>
      <w:r>
        <w:rPr>
          <w:sz w:val="20"/>
          <w:szCs w:val="20"/>
        </w:rPr>
        <w:t xml:space="preserve">Запросить: ряд суммы топ-20 и собственного капитала за девять кварталов раздельно; состав топ-20 на Q4 2025 и на Q2 2026 в обезличенном виде для сопоставления; периметр расчёта — включаются ли внебалансовые обязательства и группы связанных заёмщиков.</w:t>
      </w:r>
    </w:p>
    <w:p>
      <w:pPr>
        <w:pStyle w:val="Heading2"/>
        <w:spacing w:after="120" w:before="240"/>
      </w:pPr>
      <w:r>
        <w:t xml:space="preserve">4.3. Соотношение с регуляторной нормой</w:t>
      </w:r>
    </w:p>
    <w:p>
      <w:pPr>
        <w:spacing w:after="120" w:line="264"/>
      </w:pPr>
      <w:r>
        <w:rPr>
          <w:sz w:val="20"/>
          <w:szCs w:val="20"/>
        </w:rPr>
        <w:t xml:space="preserve">Правила № 85 устанавливают максимальный размер риска на одного заёмщика: k3 не более 0,25 от собственного капитала для прочих заёмщиков и k3-1 не более 0,10 для лиц, связанных с банком особыми отношениями. Совокупная сумма рисков на одного заёмщика, размер риска каждого из которых превышает 10 % собственного капитала, не превышает размер собственного капитала более чем в пять раз.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Внутренняя метрика жёстче регуляторной конструкции более чем в пять раз, но отбирает другую совокупность: топ-20 формируется по размеру, а регуляторное понятие крупного заёмщика — по порогу 10 % СК. Это делает метрику самостоятельным внутренним ограничением, а не дублированием норматива, и одновременно означает, что её нарушение не влечёт нарушения пруденциального норматива. При подготовке предложений на УО это надо указать прямо: превышение существенно для внутреннего управления и не является регуляторным нарушением.</w:t>
      </w:r>
    </w:p>
    <w:p>
      <w:pPr>
        <w:pStyle w:val="Heading2"/>
        <w:spacing w:after="120" w:before="240"/>
      </w:pPr>
      <w:r>
        <w:t xml:space="preserve">4.4. Что метрика не измеряет</w:t>
      </w:r>
    </w:p>
    <w:p>
      <w:pPr>
        <w:spacing w:after="120" w:line="264"/>
      </w:pPr>
      <w:r>
        <w:rPr>
          <w:sz w:val="20"/>
          <w:szCs w:val="20"/>
        </w:rPr>
        <w:t xml:space="preserve">Сумма топ-20 составляет 448 999,8 млн ₸ при рейтингуемом портфеле КБ 454 093,0 млн ₸, то есть 98,9 % корпоративного портфеля. При таком соотношении показатель измеряет отношение размера корпоративного портфеля к капиталу, а не концентрацию: перераспределение экспозиции внутри топ-20 или переход от двадцати заёмщиков к пяти его не изменят.</w:t>
      </w:r>
    </w:p>
    <w:p>
      <w:pPr>
        <w:spacing w:after="120" w:line="264"/>
      </w:pPr>
      <w:r>
        <w:rPr>
          <w:sz w:val="20"/>
          <w:szCs w:val="20"/>
        </w:rPr>
        <w:t xml:space="preserve">П. 14 Политики формулирует намерение как «не желает иметь высокую концентрацию топ-20 крупных заёмщиков к размеру капитала», а п. 16 подпункт 3 Правил № 86 требует учитывать все существенные риски концентрации — на клиента, на валюту, страновой, на сегменты рынка. Ни одной метрики концентрации в этом смысле в заявлении риск-аппетита нет.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действующий уровень как ограничение размера корпоративного портфеля относительно капитала, переименовав метрику в соответствии с тем, что она измеряет, и дополнительно ввести собственно метрики концентрации — доля топ-1 и топ-10 в портфеле КБ, индекс Херфиндаля — Хиршмана, отраслевая и валютная концентрация. Расчёт по имеющимся данным возможен без нового сбора.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Уровень ожидаемой стоимости риска</w:t>
      </w: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и приват-банкингу показатель отрицателен в восьми кварталах из девяти: от −2,09 % в Q2 2024 до −0,35 % в Q2 2026, единственное положительное значение 0,01 % в Q1 2025. По малому и среднему бизнесу отрицателен в семи кварталах из девяти и развернулся в положительную зону в 2026 году: 0,20 % в Q1 и 0,26 % в Q2.</w:t>
      </w:r>
    </w:p>
    <w:p>
      <w:pPr>
        <w:spacing w:after="120" w:line="264"/>
      </w:pPr>
      <w:r>
        <w:rPr>
          <w:sz w:val="20"/>
          <w:szCs w:val="20"/>
        </w:rPr>
        <w:t xml:space="preserve">Односторонний лимит сверху 3 % на показатель, устойчиво находящийся ниже нуля, не может сработать: расстояние до лимита составляет 3,35 пп при типичном квартальном изменении 0,63 пп, а направление движения всё это время было противоположным.</w:t>
      </w:r>
    </w:p>
    <w:p>
      <w:pPr>
        <w:spacing w:after="120" w:line="264"/>
      </w:pPr>
      <w:r>
        <w:rPr>
          <w:sz w:val="20"/>
          <w:szCs w:val="20"/>
        </w:rPr>
        <w:t xml:space="preserve">П. 15 Политики определяет показатель как рассчитываемый «с учётом общих бюджетных показателей по финансированию». То есть уровень является производной бюджета, а не результатом калибровки под риск. Это объясняет и величину, и то, что она не менялась при устойчиво отрицательном факте.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односторонний лимит двусторонним коридором либо перевести метрику на новые выдачи, где она измеряет стоимость риска принимаемого потока, а не сальдо по портфелю с учётом роспуска провизий. До принятия решения сигнальный уровень по этой метрике не устанавливать: зона внутри лимита, который не может быть достигнут, контроля не создаёт.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Отдельно: на листе 50-2 отчёта лимит по МСБ указан как 3,3 %, тогда как в Приложении № 3 к Политике и на листе 50-1 он составляет 3,5 %. Расхождение в тексте выводов отчёта.</w:t>
      </w:r>
    </w:p>
    <w:p>
      <w:pPr>
        <w:pStyle w:val="Heading1"/>
        <w:spacing w:after="160" w:before="320"/>
      </w:pPr>
      <w:r>
        <w:t xml:space="preserve">6. Кредитоспособность по внутреннему рейтингу</w:t>
      </w:r>
    </w:p>
    <w:p>
      <w:pPr>
        <w:pStyle w:val="Heading2"/>
        <w:spacing w:after="120" w:before="240"/>
      </w:pPr>
      <w:r>
        <w:t xml:space="preserve">6.1. Действующая метрика слепа к сдвигу, который уже измеряется</w:t>
      </w:r>
    </w:p>
    <w:p>
      <w:pPr>
        <w:spacing w:after="120" w:line="264"/>
      </w:pPr>
      <w:r>
        <w:rPr>
          <w:sz w:val="20"/>
          <w:szCs w:val="20"/>
        </w:rPr>
        <w:t xml:space="preserve">Метрика в заявлении риск-аппетита сформулирована как «выданные займы при уровне отсечения выше 33» с целевым значением 0. За рассматриваемый квартал таких выдач не было ни по КБ, ни по МСБ, как и в предыдущих периодах. Показатель бинарен: между нулём и единицей промежуточного состояния нет, и сигнальный уровень к нему неприменим.</w:t>
      </w:r>
    </w:p>
    <w:p>
      <w:pPr>
        <w:spacing w:after="120" w:line="264"/>
      </w:pPr>
      <w:r>
        <w:rPr>
          <w:sz w:val="20"/>
          <w:szCs w:val="20"/>
        </w:rPr>
        <w:t xml:space="preserve">При этом мастер-шкала (Приложение № 4 к Политике) градуирована от 1 до 50 и уже разделена на три полосы: 1–13, 14–33 и 34–50, причём в самом приложении они окрашены в зелёный, жёлтый и красный цвета. Первые две отнесены к приемлемому уровню, третья — к неприемлемому.</w:t>
      </w:r>
    </w:p>
    <w:p>
      <w:pPr>
        <w:spacing w:after="120" w:line="264"/>
      </w:pPr>
      <w:r>
        <w:rPr>
          <w:sz w:val="20"/>
          <w:szCs w:val="20"/>
        </w:rPr>
        <w:t xml:space="preserve">Более того, отчёт на листе 50-2 уже содержит распределение портфеля по трём группам рейтингов в динамике за пять дат. То есть данные для градуированного показателя собираются и печатаются в том же документе, но в заявление риск-аппетита не попадают.</w:t>
      </w:r>
    </w:p>
    <w:p>
      <w:pPr>
        <w:pStyle w:val="Heading2"/>
        <w:spacing w:after="120" w:before="240"/>
      </w:pPr>
      <w:r>
        <w:t xml:space="preserve">6.2. Что показывает имеющийся ряд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Сегмент / группа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01.01.2023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01.01.2024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01.01.2025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01.01.2026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19,37 %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26,21 %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11,13 %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27,88 %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64,95 %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79,04 %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69,52 %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86,80 %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70,28 %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15,68 %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5,20 %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4,28 %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1,84 %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44,40 %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63,42 %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53,75 %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39,02 %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48,17 %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32,03 %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59,98 %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2,06 %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0,82 %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картина благоприятная: доля высокой группы сократилась с 15,68 % до 1,84 %, доля низкой в последнем периоде выросла до 27,88 %.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 малому и среднему бизнесу картина обратная.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Доля низкой группы сократилась с 63,42 % на 01.01.2025 до 39,02 % на 01.07.2026 — на 24,4 пп за полтора года, при этом умеренная группа выросла с 34,52 % до 59,98 %. Это устойчивый сдвиг структуры портфеля в сторону худших рейтингов внутри приемлемой зоны. Действующая метрика риск-аппетита его не фиксирует вообще, поскольку граница отсечения проходит по 33, а сдвиг происходит внутри полосы 14–33.</w:t>
      </w:r>
    </w:p>
    <w:p>
      <w:pPr>
        <w:pStyle w:val="Heading2"/>
        <w:spacing w:after="120" w:before="240"/>
      </w:pPr>
      <w:r>
        <w:t xml:space="preserve">6.3. Покрытие рейтингами</w:t>
      </w:r>
    </w:p>
    <w:p>
      <w:pPr>
        <w:spacing w:after="120" w:line="264"/>
      </w:pPr>
      <w:r>
        <w:rPr>
          <w:sz w:val="20"/>
          <w:szCs w:val="20"/>
        </w:rPr>
        <w:t xml:space="preserve">По МСБ без внутреннего рейтинга находится 721 заёмщик на 27 694,8 млн ₸ — 23,22 % портфеля по остатку при общем портфеле 119 253,3 млн ₸ и 1 116 заёмщиках. По КБ без рейтинга 3 заёмщика на 693,5 млн ₸, или 0,15 % портфеля 454 093,0 млн ₸.</w:t>
      </w:r>
    </w:p>
    <w:p>
      <w:pPr>
        <w:spacing w:after="120" w:line="264"/>
      </w:pPr>
      <w:r>
        <w:rPr>
          <w:sz w:val="20"/>
          <w:szCs w:val="20"/>
        </w:rPr>
        <w:t xml:space="preserve">Соблюдение лимита по уровню отсечения доказано по МСБ на 76,8 % портфеля. Оставшиеся 23,2 % находятся вне периметра измерения, и утверждение о соблюдении на них не распространяется.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бинарную метрику на две градуированные, обе рассчитываемые на существующих данных: доля портфеля в полосе рейтингов 14–33 и доля портфеля с действующим внутренним рейтингом. Первая делает наблюдаемым сдвиг, который сейчас невидим; вторая закрывает вопрос покрытия и стыкуется с требованиями Правил № 61 к рейтинговым моделям и их независимой валидации. Бинарный показатель выдач выше отсечения при этом сохранить как контрольный, но перенести из заявления риск-аппетита в систему внутреннего контроля.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Метрики розничного бизнеса</w:t>
      </w:r>
    </w:p>
    <w:p>
      <w:pPr>
        <w:pStyle w:val="Heading2"/>
        <w:spacing w:after="120" w:before="240"/>
      </w:pPr>
      <w:r>
        <w:t xml:space="preserve">7.1. Девять метрик, ни одного срабатывания</w:t>
      </w:r>
    </w:p>
    <w:p>
      <w:pPr>
        <w:spacing w:after="120" w:line="264"/>
      </w:pPr>
      <w:r>
        <w:rPr>
          <w:sz w:val="20"/>
          <w:szCs w:val="20"/>
        </w:rPr>
        <w:t xml:space="preserve">За девять кварталов ни одна из девяти метрик РБ не приблизилась к своему лимиту. Восемь из девяти показывают устойчивое снижение или стабильность. Расстояния до лимитов составляют от 9,1 σ по необеспеченному EL до 90,6 σ по PD прочих кредитных продуктов.</w:t>
      </w:r>
    </w:p>
    <w:p>
      <w:pPr>
        <w:pStyle w:val="Heading2"/>
        <w:spacing w:after="120" w:before="240"/>
      </w:pPr>
      <w:r>
        <w:t xml:space="preserve">7.2. Единственное исключение</w:t>
      </w:r>
    </w:p>
    <w:p>
      <w:pPr>
        <w:spacing w:after="120" w:line="264"/>
      </w:pPr>
      <w:r>
        <w:rPr>
          <w:sz w:val="20"/>
          <w:szCs w:val="20"/>
        </w:rPr>
        <w:t xml:space="preserve">Уровень ожидаемых потерь по необеспеченному портфелю снижался восемь кварталов подряд — с 7,91 % до 7,01 %, — а в Q2 2026 вырос до 7,57 %. Прирост +0,555 пп является максимальным по модулю за весь ряд и в два с лишним раза превышает стандартное отклонение приращений 0,266 пп.</w:t>
      </w:r>
    </w:p>
    <w:p>
      <w:pPr>
        <w:spacing w:after="120" w:line="264"/>
      </w:pPr>
      <w:r>
        <w:rPr>
          <w:sz w:val="20"/>
          <w:szCs w:val="20"/>
        </w:rPr>
        <w:t xml:space="preserve">Одновременно вырос уровень ожидаемых потерь по обеспеченному портфелю: с 1,43 % в Q4 2025 до 1,64 % в Q2 2026, третий квартал роста подряд. И по прочему портфелю: с 2,29 % до 2,47 %.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все метрики PD продолжают снижаться. Рост EL при снижающемся PD означает изменение уровня потерь в случае дефолта либо структуры экспозиции, а не ухудшение платёжной дисциплины. Разложение EL на составляющие в отчёте отсутствует и должно быть запрошено — это существенно для вывода, является ли рост разовым.</w:t>
      </w:r>
    </w:p>
    <w:p>
      <w:pPr>
        <w:pStyle w:val="Heading2"/>
        <w:spacing w:after="120" w:before="240"/>
      </w:pPr>
      <w:r>
        <w:t xml:space="preserve">7.3. Избыточность внутри набора</w:t>
      </w:r>
    </w:p>
    <w:p>
      <w:pPr>
        <w:spacing w:after="120" w:line="264"/>
      </w:pPr>
      <w:r>
        <w:rPr>
          <w:sz w:val="20"/>
          <w:szCs w:val="20"/>
        </w:rPr>
        <w:t xml:space="preserve">Из девяти метрик независимы не все.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ожидаемых потерь по общему портфелю РБ является взвешенным средним трёх субпортфелей и при доминировании обеспеченного портфеля с EL 1,64 % не может сработать раньше субпортфельного лимита по необеспеченному. За девять кварталов агрегат не приближался к лимиту 9 % ни разу, максимум составил 3,86 %.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PD по необеспеченным кредитам является взвешенным средним PD по денежным и товарным кредитам, что видно по ряду: агрегат всё девять кварталов находится строго между двумя составляющими. Лимит по всем трём одинаков и равен 15 %, тогда как денежные и товарные кредиты имеют разную экономику. Расхождение между продуктовыми PD за период не превышало 1,7 пп, что не даёт эмпирического основания ни для единого лимита, ни против него.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обеспеченному портфелю отношение EL к PD составляет 0,327. При PD, равном лимиту 7 %, и неизменном отношении EL составит около 2,29 % при лимите 7 %, то есть лимит EL не может быть нарушен, пока соблюдается лимит PD. Из двух метрик по обеспеченному портфелю контрольную функцию несёт одна.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в заявлении риск-аппетита PD по денежным кредитам, PD по товарным кредитам, PD по обеспеченным кредитам и EL по необеспеченному портфелю; агрегированные EL по общему портфелю и PD по необеспеченным кредитам вывести из заявления в состав управленческой отчётности; EL по обеспеченному портфелю исключить как недостижимый при действующем лимите PD. Уровни по сохраняемым метрикам пересмотреть по § 8.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Предложения по каждому из четырнадцати уровней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4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Действ. 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Обоснование и предлагаемое действие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 уровень,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Уровень работает: единственный сработавший за девять кварталов. Требуется план восстановления и сигнальный уровень 85 % — см. § 9. Метрику переименовать под то, что она измеряет, и дополнить метриками концентрации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КБ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Бинарный показатель не поддерживает зонирование. Заменить на долю портфеля в полосе 14–33 и долю портфеля с действующим рейтингом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Восемь кварталов из девяти факт отрицателен. Двусторонний коридор либо перевод на новые выдачи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МСБ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 же, что по КБ. Дополнительно: покрытие рейтингами 76,8 %, соблюдение доказано не на всём портфеле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Семь кварталов из девяти факт отрицателен, разворот в плюс в 2026 году. Устранить расхождение 3,3 % против 3,5 % в тексте отчёта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портфель РБ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субпортфелей; максимум за девять кварталов 3,86 % при лимите 9 %. Дублирует субпортфельный контроль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Единственная метрика РБ с расстоянием менее 10 σ. В Q2 2026 максимальный рост за ряд. Сигнальный уровень 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Исключить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может быть нарушен, пока соблюдается лимит PD 7 % по тому же субпортфелю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47,6 σ до лимита. Уровень не выполняет контрольной функции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денежных и товарных; отдельной информации не несёт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31,6 σ до лимита при монотонном снижении девять кварталов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23,9 σ до лимита. Продуктовая калибровка вместо единого сегментного уровня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25,4 σ до лимита; ряд практически плоский, σ 0,08 пп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 кредитные продукты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90,6 σ до лимита — наибольший отрыв в наборе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Ограничение.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Предложения по пересмотру уровней сформулированы по наблюдаемой динамике. Конкретные новые значения в настоящей версии не предлагаются: для их обоснования нужны результаты стресс-тестирования (п. 16 подпункт 7 и п. 18 Правил № 86 требуют, чтобы уровни учитывали обоснованные допущения, подкреплённые стресс-тестом) и исходные расчёты действующих уровней. Оба входа перечислены в § 1.2.</w:t>
      </w:r>
    </w:p>
    <w:p>
      <w:pPr>
        <w:spacing w:after="120" w:line="264"/>
      </w:pPr>
      <w:r>
        <w:rPr>
          <w:sz w:val="20"/>
          <w:szCs w:val="20"/>
        </w:rPr>
        <w:t xml:space="preserve">Также требуется проверка на укладываемость в агрегированный уровень риск-аппетита: п. 18 часть 6 Правил № 86 и п. 29 Стратегии допускают пересмотр уровней по отдельным видам риска в течение года только в рамках агрегированного уровня.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Сигнальные уровни: калибровка и проверка на истории</w:t>
      </w:r>
    </w:p>
    <w:p>
      <w:pPr>
        <w:spacing w:after="120" w:line="264"/>
      </w:pPr>
      <w:r>
        <w:rPr>
          <w:sz w:val="20"/>
          <w:szCs w:val="20"/>
        </w:rPr>
        <w:t xml:space="preserve">П. 18 подпункт 2 Правил № 86 предусматривает уровень, определённый как допустимый, но требующий отдельных корректирующих мер. По восьми метрикам капитала и ликвидности такие уровни установлены Приложением № 2 к Методике. По кредитному риску они отсутствуют.</w:t>
      </w:r>
    </w:p>
    <w:p>
      <w:pPr>
        <w:pStyle w:val="Heading2"/>
        <w:spacing w:after="120" w:before="240"/>
      </w:pPr>
      <w:r>
        <w:t xml:space="preserve">9.1. Топ-20: проверка на истории</w:t>
      </w:r>
    </w:p>
    <w:p>
      <w:pPr>
        <w:spacing w:after="120" w:line="264"/>
      </w:pPr>
      <w:r>
        <w:rPr>
          <w:sz w:val="20"/>
          <w:szCs w:val="20"/>
        </w:rPr>
        <w:t xml:space="preserve">Максимальное значение показателя за семь кварталов, предшествующих скачку, составило 77,07 %. Первое значение, при котором нарушение стало неизбежным, — 92,66 % в Q1 2026. Следовательно, любой сигнальный уровень в диапазоне от 78 % до 92 % даёт одно срабатывание — в Q1 2026, за квартал до нарушения — и ни одного ложного срабатывания на предшествующих семи кварталах.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00"/>
        <w:gridCol w:w="260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Вариант калибровки</w:t>
            </w:r>
          </w:p>
        </w:tc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Срабатывание</w:t>
            </w:r>
          </w:p>
        </w:tc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Ложные срабатывания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90 % от лимита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85,5 %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из 7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минус 2 σ (σ = 2,93)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89,1 %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из 7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минус 1 σ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92,1 %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из 7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Максимум ряда плюс 1 пп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78,1 %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из 7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Рекомендуемое значение — 85 %, то есть 89,5 % лимита. Оно лежит в середине допустимого диапазона, отстоит от исторического максимума стабильного режима на 8 пп и от лимита на 10 пп.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Честное ограничение: рост составил 17,04 пп за один квартал, поэтому никакой сигнальный уровень не дал бы более одного квартала предупреждения. Второй, независимый триггер — по скорости изменения: прирост свыше 5 пп за квартал, что за девять кварталов сработало бы дважды, в Q1 и Q2 2026, и ни разу до этого.</w:t>
      </w:r>
    </w:p>
    <w:p>
      <w:pPr>
        <w:pStyle w:val="Heading2"/>
        <w:spacing w:after="120" w:before="240"/>
      </w:pPr>
      <w:r>
        <w:t xml:space="preserve">9.2. Остальные кредитные метрики</w:t>
      </w:r>
    </w:p>
    <w:p>
      <w:pPr>
        <w:spacing w:after="120" w:line="264"/>
      </w:pPr>
      <w:r>
        <w:rPr>
          <w:sz w:val="20"/>
          <w:szCs w:val="20"/>
        </w:rPr>
        <w:t xml:space="preserve">Для метрик с расстоянием свыше 20 σ статистическая калибровка сигнального уровня бессмысленна: любой порог внутри лимита либо не сработает никогда, либо сработает при уровне, не имеющем отношения к риску. Для них последовательность обратная — сначала пересмотр самого уровня по § 8, затем зонирование внутри нового уровня.</w:t>
      </w:r>
    </w:p>
    <w:p>
      <w:pPr>
        <w:spacing w:after="120" w:line="264"/>
      </w:pPr>
      <w:r>
        <w:rPr>
          <w:sz w:val="20"/>
          <w:szCs w:val="20"/>
        </w:rPr>
        <w:t xml:space="preserve">Для EL по необеспеченному портфелю расстояние 9,1 σ допускает калибровку сразу. При лимите 10 % и σ 0,266 пп сигнальный уровень 8,5 % отстоит от лимита на 5,6 σ и от текущего факта 7,57 % на 3,5 σ. За девять кварталов он не сработал бы ни разу, но при сохранении темпа Q2 2026 был бы достигнут за два квартала.</w:t>
      </w:r>
    </w:p>
    <w:p>
      <w:pPr>
        <w:pStyle w:val="Heading2"/>
        <w:spacing w:after="120" w:before="240"/>
      </w:pPr>
      <w:r>
        <w:t xml:space="preserve">9.3. Терминология</w:t>
      </w:r>
    </w:p>
    <w:p>
      <w:pPr>
        <w:spacing w:after="120" w:line="264"/>
      </w:pPr>
      <w:r>
        <w:rPr>
          <w:sz w:val="20"/>
          <w:szCs w:val="20"/>
        </w:rPr>
        <w:t xml:space="preserve">В документах, идущих на КУР и СД, применять формулировку п. 18 подпункт 2 Правил № 86 — «уровень, определённый как допустимый», а не «предлимит». Она же используется в Приложении № 2 к Методике и в графе 6 Таблицы 2 приложения к Структуре отчёта по соблюдению ВПОДК, где по каждому лимиту риск-аппетита указываются установленный допустимый уровень, количество случаев его достижения и общая длительность в днях. При отсутствии установленного допустимого уровня эти графы не заполняются.</w:t>
      </w:r>
    </w:p>
    <w:p>
      <w:pPr>
        <w:pStyle w:val="Heading1"/>
        <w:spacing w:after="160" w:before="320"/>
      </w:pPr>
      <w:r>
        <w:t xml:space="preserve">10. Дефекты, выявленные при работе с отчётом</w:t>
      </w:r>
    </w:p>
    <w:p>
      <w:pPr>
        <w:spacing w:after="120" w:line="264"/>
      </w:pPr>
      <w:r>
        <w:rPr>
          <w:sz w:val="20"/>
          <w:szCs w:val="20"/>
        </w:rPr>
        <w:t xml:space="preserve">Относятся к качеству подготовки отчёта, а не к уровням риск-аппетита. Приводятся отдельно, поскольку адресат у них другой.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Наблюдение</w:t>
            </w:r>
          </w:p>
        </w:tc>
        <w:tc>
          <w:tcPr>
            <w:tcW w:type="dxa" w:w="5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Существо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лимита в тексте выводов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«Ожидаемый COR — (0,26) %, при лимите 3,3 %». В Приложении № 3 и на листе 50-1 лимит по МСБ составляет 3,5 %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Ошибка в тексте о наименьшем запасе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«Наименьший запас прочности зафиксирован по обеспеченным денежным кредитам: PD = 5,10 % при лимите 7 %». Категории «обеспеченные денежные кредиты» в наборе метрик нет; PD по обеспеченным кредитам составляет 5,015 %, а не 5,10 %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Д3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Столбец «Запас» считается непоследовательно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 CoR КБ при факте −0,35 % и лимите 3 % запас указан как 3 %, а не 3,35 %. По операционному риску в этой же версии запас рассчитан корректно: 1 999,515 при факте 0,485. То есть в одном столбце сосуществуют разные правила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Д4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Вторая метрика комплаенс-риска отсутствует в сводной части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50-3 содержит два лимита: по убыткам до 60 млн ₸ (факт 1 211 000 ₸, 2 % лимита) и по количеству событий, не влекущих финансовых убытков, до 40 (факт 11, 27,5 % лимита). В сводном листе 50-1 и в Приложении № 3 присутствует только первый. Вторая метрика с утилизацией 27,5 % в заявлении риск-аппетита не отражена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против годового лимита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 за Q2 2026 равен нулю, при этом в Q1 2026 зафиксирован убыток 1,2 млн ₸. Требуется определить, является ли лимит 60 млн ₸ годовым или квартальным: при годовом лимите сопоставление с квартальным фактом занижает утилизацию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Д6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Пересчёт запаса ALRI в тенге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ALRI является средним арифметическим LCR, HLA и NSFR — показателей с разными знаменателями. Запас 46,46 пп переведён в 708 980,5 млн ₸ умножением на среднее арифметическое трёх знаменателей: 368 729,7, 2 752 568,3 и 1 456 906,9, что даёт 1 526 068. Величина не имеет экономического содержания. По ACARI аналогичная операция корректна, поскольку k1, k1-2 и k2 имеют общий знаменатель RWA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Д7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Веса в Приложении № 1 к Методике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 каждого коэффициента указан как 0,33, сумма 0,99. При таких весах ACARI составил бы 20,69 %, а в отчёте 20,90 %; отчётное значение получается при весе 1/3. Расчёт ведётся не по формуле, записанной в документе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Версии отчёта на одну дату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обращении находится версия отчёта на 01.07.2026, в которой блоки рыночного риска, риска капитала и риска ликвидности содержат значения, полностью совпадающие с Q3 2025: k1 20,1 %, k2 27,6 %, ACARI 22,6 %, VaR 0,28 %, ALRI 130,55 %, HLA 36,79 %, LCR 202,58 %, NSFR 152,28 %, собственный капитал 550 245 млн ₸, RWA 1 991 987 млн ₸. В файле формы 50 на ту же дату эти показатели иные, собственный капитал единый — 442 346,3 млн ₸, а запас по k1 и k1-2 рассчитан. Требуется установить, какая версия выносилась на уполномоченный орган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Д8 существенно для интерпретации ранее сделанных наблюдений: расхождение значений собственного капитала внутри одного отчёта и незаполненный запас по k1 и k1-2 относятся к той версии и в файле формы 50 не воспроизводятся.</w:t>
      </w:r>
    </w:p>
    <w:p>
      <w:pPr>
        <w:spacing w:after="120" w:line="264"/>
      </w:pPr>
      <w:r>
        <w:rPr>
          <w:sz w:val="20"/>
          <w:szCs w:val="20"/>
        </w:rPr>
        <w:t xml:space="preserve">Причина, по которой такие расхождения возможны, зафиксирована самим Банком в Приложении № 6 к Политике: единой базы данных для формирования отчёта нет, данные собираются из разных источников разными структурными подразделениями, уровень автоматизации 30 % при целевом 40 % с датой достижения 4 квартал 2023 года.</w:t>
      </w:r>
    </w:p>
    <w:p>
      <w:pPr>
        <w:pStyle w:val="Heading1"/>
        <w:spacing w:after="160" w:before="320"/>
      </w:pPr>
      <w:r>
        <w:t xml:space="preserve">11. Что требуется для завершения записки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Актуальный стресс-тест в разрезе метрик риск-аппетита и дата последнего обновления сценариев. Без этого раздел об оценке приемлемости уровней не заполняется, а требование п. 18 Правил № 86 и формулировка мероприятия 1 остаются незакрытыми.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Протоколы СД, которыми утверждались действующие уровни, и расчёты, положенные в их основу.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Ряд суммы топ-20 и собственного капитала за девять кварталов раздельно; состав топ-20 на Q4 2025 и Q2 2026 в обезличенном виде; периметр расчёта.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Разложение EL по необеспеченному портфелю РБ на составляющие за последние четыре квартала — для вывода о характере роста в Q2 2026.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Подтверждение периметра сегмента: Политика оперирует сегментом «Корпоративный бизнес / Приват банкинг», сводный лист отчёта — «Корпоративный бизнес».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Ответ по Д5: годовой или квартальный характер лимитов по операционному и комплаенс-риску.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Статус системной значимости Банка — для сверки уровней по капиталу с Нормативами № 85.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Расчёты § 3 и § 9 выполнены по рядам, приведённым на листе «Выводы» формы 50 на 01.07.2026, без доступа к первичным расчётам метрик. Стандартные отклонения рассчитаны по квартальным приращениям на девяти наблюдениях и являются оценкой с широким доверительным интервалом; они используются для ранжирования метрик по достижимости лимита, а не как основание для конкретных числовых уровней. Выводы § 8 подлежат уточнению после получения входов, перечисленных выше.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2026-08-18T05:52:34.162Z</dcterms:created>
  <dcterms:modified xsi:type="dcterms:W3CDTF">2026-08-18T05:52:34.185Z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