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План действий по превышению лимита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Отношение неработающих займов к ссудному портфелю ≥ 10 %: регуляторный дедлайн, состав плана мероприятий, меры и практика взаимодействия с АРРФР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0.2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Структура собрана из трёх слоёв: обязательный минимум п. 99 Нормативов № 85, надзорная практика ЕС по работе с неработающими кредитами (EBA GL/2018/06, ECB NPL Guidance) и практика взаимодействия с регулятором. Позиции, требующие фактических данных банка, помечены «ЗАПОЛНИТЬ».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При самостоятельном выявлении превышения план мероприятий представляется в АРРФР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в течение 5 рабочих дней со дня выявления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(п. 102). Представленный план переводит превышение в режим «не нарушение» (п. 99, часть третья); непредставленный оставляет его нарушением. Скорость подачи буквально меняет правовую квалификацию события.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0. Немедленные шаги — дни 0–5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Зафиксировать факт и дату выявления письменно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(служебная записка или протокол): от этой даты идут 5 рабочих дней; кто выявил — банк или АРРФР — меняет основание (п. 102 либо п. 99).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Заморозить расчёт: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НЗ, СП, дата среза, методика (gross, критерии № 61 плюс POCI, периметр с МБК и обратным РЕПО). Одно число во всех документах, расчёт воспроизводим из первичных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Разложить сработку на числитель и знаменатель: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вклад роста НЗ против вклада сжатия СП за 6–12 месяцев. «Портфель испортился» и «портфель сжался» лечатся разными мерами.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Прогнать калькулятор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(calc/limits98.py) на помесячном ряду: сработали ли заодно 98-1 и 98-2 и что даёт проекция п. 105. Если сработали — п. 103 пп. 1 сворачивает всё в один план по 98-3.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руководство БРМ → Правление / КРВК → СД (п. 12-1 Политики РА). Кандидатуры ответственных руководящих работников согласовать на этом шаге — они нужны в тексте плана.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Представить план в срок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даже первой версией с консервативными оценками; дорабатывать через процедуру замечаний п. 100.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1. Детальный анализ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Сегментация НЗ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обязательный разрез ФЛ / ЮЛ (п. 99), внутри: продукт, DPD-бакет, винтаж выдачи, признак реструктуризации, обеспеченность, стадия, POCI отдельно. Готовые входы — матрицы Phase C и cure pool контура Stage 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Декомпозиция динамики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 уравнению баланса НЗ за каждый месяц: приток (SICR → дефолт, новые 90+) минус отток (cure, списания, продажи, реализация залогов, погашения) плюс-минус эффект знаменателя. Каждому компоненту — свой владелец меры.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срез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параллельно проверить 98-7 и 98-8; если они у порога, план сразу строить на все сработавшие лимиты.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Сверка с внешним эталоном: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 против Кредитного регистра и формы 700Н (межформенные контроли приложения К контура AQR). Расхождение, найденное регулятором после подачи плана, дороже найденного до.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2. Прогноз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Считать двумя способами и показывать оба. Первый — по формуле регулятора (п. 105, линейная экстраполяция полугодовой динамики на 12 месяцев): АРРФР увидит именно эту цифру, её нужно знать раньше регулятора. Второй — собственный прогноз (roll-rates по DPD-бакетам, винтажный анализ) с драйверами притока и оттока и сценарием исполнения мер. Расхождение между ними — не проблема, а содержание раздела «обоснование прогноза»: линейная экстраполяция не учитывает мер, сезонности и разовых событий.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Негативные влияния на деятельность (требование п. 99): давление на провизии и капитал, стоимость фондирования, ограничения роста — по каждому одно-два предложения с числом, без каталога ужасов.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3. Меры — по обе стороны дроби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Каждая мера — с владельцем, сроком и ожидаемым эффектом на НЗ/СП в процентных пунктах; сумма эффектов складывается в мост «текущее значение → менее 10 %» с запасом.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Числитель вниз (отток НЗ)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Механизм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Интенсификация взыскания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приоритизация 90+ по сумме × вероятности возврата, по бакетам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коллекшн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Меню реструктуризаций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кратко- и долгосрочные инструменты; контроль критериев выхода (6/12 месяцев, снижение EAD) и скрытых реструктуризаций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7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Реализация залогов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синхронно с журналами B2E/B2F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Продажа / цессия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ОУСА, коллекторские организации; влияние на P&amp;L посчитать до, а не после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юристы, ФД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Списание за баланс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политике списаний; списанная задолженность остаётся объектом раскрытия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ДБУиО, налоги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Каталог мер — EBA GL/2018/06, разд. 5; ECB NPL Guidance, гл. 2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Приток перекрыть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Ужесточение отсечения в выдаче: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порог по мастер-шкале (полоса 34–50 — стоп) — готовый инструмент Приложения № 4 к Политике.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Стоп-факторы по сегментам: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худшие винтажи и продукты из анализа фазы 1.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Ранняя работа с 61–90: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ряд 98-2 — встроенный опережающий индикатор; каждая петля «61-90 → 90+» — прямой приток в НЗ.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ЗНАМЕНАТЕЛЬ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Если вклад сжатия ссудного портфеля существенен — показать это в плане явно и закрывать мерами роста здорового портфеля, а не разгоном выдач ради дроби. Регулятор считает ежемесячно (п. 106) и увидит структуру роста.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4. Помесячный контроль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Болванка обязательной таблицы плана (п. 99: мероприятия по каждому отчётному периоду, в разрезе ФЛ и ЮЛ):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4"/>
        <w:gridCol w:w="1349"/>
        <w:gridCol w:w="1349"/>
        <w:gridCol w:w="1349"/>
        <w:gridCol w:w="1349"/>
        <w:gridCol w:w="1352"/>
      </w:tblGrid>
      <w:tr>
        <w:trPr>
          <w:tblHeader/>
        </w:trP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№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Мероприятие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Разрез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Период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Эффект, п.п.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Срок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ФЛ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…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Структура — п. 99 Нормативов № 85; наполнение — после получения рядов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Эффект каждой строки измерим и проверяем по отчётности.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Сумма эффектов закрывает разрыв до менее 10 %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Помесячная контрольная точка — собственный расчёт НЗ/СП до регуляторного цикла п. 106.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Отклонение факта от плана на контрольной точке — триггер пересмотра плана, а не молчания.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5. Практика взаимодействия с регулятором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Опережающее раскрытие.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Самостоятельное выявление плюс план в 5 дней — сильнейшая переговорная позиция: формально «не нарушение», репутационно — «банк управляет проблемой». Ждать письма АРРФР — отдать инициативу.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Одна точка входа.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Один владелец коммуникации; все письма, замечания и обсуждения — через него, с протоколированием. Согласование от имени подразделения, а не через индивидуальные договорённости исполнителя.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Одно число во всех документах.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НЗ/СП в плане, форме 50, ответах на замечания и отчёте по ВПОДК (Таблица 2, графы 9–10) сходится до знака: расхождение между собственными документами — главный генератор надзорных вопросов.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Пакет приложений к плану: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методика расчёта НЗ, помесячный ряд, декомпозиция числитель/знаменатель, расчёт проекции п. 105, мост мер до менее 10 %. Любое число пересчитывается из приложенных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Процедура замечаний — рабочий инструмент.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П. 100 прямо предусматривает совместные обсуждения и письменные обоснования несогласия; спорить с замечанием можно и нужно письменно, с расчётом.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Хронология в деле.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Реестр: дата выявления, дата подачи, входящие и исходящие, сроки пп. 99–101. Пропуск регуляторного срока обнуляет любую аналитику.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Аргумент лестницы.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Раздел 6 Закона № 258-VIII выстраивает каскад: признаки ухудшения (ст. 85) → усиленный надзор (ст. 87) → восстановление (ст. 89) → урегулирование (ст. 92). Сработка лимита без плана — вход в признак ст. 85 п. 2 пп. 1; представленный план по п. 99 главы 11 удерживает банк на нулевой ступени. Выход из усиленного надзора — полгода безупречного соблюдения нормативов (ст. 87 п. 6), поэтому план в 5 дней несопоставимо дешевле.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6. Внутренний контур — чтобы не повторилось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Ввести НЗ/СП в заявление РА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пересмотре уровней: трёхзонная лестница ниже регуляторных 10 % (ориентир: зелёная &lt; 8 %, жёлтая 8–9,5 %, красная ≥ 9,5 %; калибровка по волатильности метрики — той же методикой, что сигнальный уровень топ-20). Сработка регуляторного лимита без внутреннего зеркала — сама по себе аргумент существенности по п. 16 пп. 3 Правил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СРП по 98-1/98-2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34 пп. 5, 6 Правил № 86): ежемесячный автоматический пересчёт двух рядов и проекции п. 105; жёлтый сигнал — прогнозируется «негативное влияние», красный — сработал триггер монотонности или 5 %.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 внутренний расчёт всех пяти лимитов БРМ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(98-1/2/3/7/8) калькулятором контура — до выхода регуляторной отчётности, чтобы п. 106 никогда не опережал банк.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Условие корректировки уровней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17 пп. 4 Правил № 86): внести в ВНД правило «изменение регуляторного лимита влечёт пересмотр внутреннего» — та же дыра, что зафиксирована по LCR/NSFR (Г14).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Ориентиры лучшей практики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методологии, не для комплаенса; реквизиты перед цитированием проверить.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EBA GL/2018/06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Guidelines on management of non-performing and forborne exposures: порог внимания NPL ratio 5 %, стратегия NPE, операционный план, выделенные подразделения, политика forbearance.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ECB Guidance to banks on non-performing loans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 и Addendum (2018): сегментация, количественные цели по портфелям и горизонтам, самооценка возможностей, календарное провизирование.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BCBS, Prudential treatment of problem assets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(2017): согласование определений NPE / Stage 3 / 90+.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FSB, Principles for an Effective Risk Appetite Framework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(2013): регуляторные лимиты как жёсткие границы риск-ёмкости внутри RAF.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Открытые вопросы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Дата и субъект выявления превышения (определяет дедлайн).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Фактические ряды для калькулятора: ЗП90, ЗП61-90, НЗ, СП за 7+ месяцев; потребительский срез для 98-7/98-8.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Статус системной значимости Банка (п. 108; связан с Г12).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Владельцы мер вне БРМ (коллекшн, ФД, ДБУиО, юристы) — согласовать до включения в перечень ответственных.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Порядок утверждения плана внутри банка (Правление / СД) до подачи в АРРФР — проверить по Уставу и Политике РА.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2026-08-19T09:54:39.082Z</dcterms:created>
  <dcterms:modified xsi:type="dcterms:W3CDTF">2026-08-19T09:54:39.082Z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