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0.2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признаков — тоже НПА АРРФР; публиковавшиеся по проекту ориентиры (отток депозитов &gt; 15 % за неделю, нарушения ОВП ≥ 3 раз за 6 месяцев, проблемные кредиты &gt; 15 % при недостаточном резервировании) до принятия акта считать ориентирами, не нормой.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 Отдельно: с 01.01.2027 вводится в действие Закон № 306-VIII от 11.06.2026 с изменениями в Закон о банках — редакцию статей при работе за этим горизонтом сверять заново.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2026-08-19T09:54:38.771Z</dcterms:created>
  <dcterms:modified xsi:type="dcterms:W3CDTF">2026-08-19T09:54:38.786Z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