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Times New Roman" w:cs="Times New Roman" w:eastAsia="Times New Roman" w:hAnsi="Times New Roman"/>
          <w:b/>
          <w:bCs/>
          <w:color w:val="16202B"/>
          <w:sz w:val="40"/>
          <w:szCs w:val="40"/>
        </w:rPr>
        <w:t xml:space="preserve">План действий по превышению лимита 98-3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5B6B7A"/>
          <w:sz w:val="25"/>
          <w:szCs w:val="25"/>
        </w:rPr>
        <w:t xml:space="preserve">Отношение неработающих займов к ссудному портфелю ≥ 10 %: регуляторный дедлайн, состав плана мероприятий, меры и практика взаимодействия с АРРФР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5B6B7A"/>
          <w:sz w:val="18"/>
          <w:szCs w:val="18"/>
        </w:rPr>
        <w:t xml:space="preserve">БРМ, АО «Евразийский банк» · рабочий контур docs/analysis/npl_limits · версия 0.2 от 19.08.2026</w:t>
      </w:r>
    </w:p>
    <w:p>
      <w:pPr>
        <w:spacing w:after="180" w:line="300"/>
        <w:jc w:val="both"/>
      </w:pPr>
      <w:r>
        <w:rPr>
          <w:rFonts w:ascii="Times New Roman" w:cs="Times New Roman" w:eastAsia="Times New Roman" w:hAnsi="Times New Roman"/>
          <w:i/>
          <w:iCs/>
          <w:color w:val="3C4A56"/>
          <w:sz w:val="22"/>
          <w:szCs w:val="22"/>
        </w:rPr>
        <w:t xml:space="preserve">Структура собрана из трёх слоёв: обязательный минимум п. 99 Нормативов № 85, надзорная практика ЕС по работе с неработающими кредитами (EBA GL/2018/06, ECB NPL Guidance) и практика взаимодействия с регулятором. Позиции, требующие фактических данных банка, помечены «ЗАПОЛНИТЬ».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A8492F" w:sz="18"/>
              <w:bottom w:val="none" w:color="FFFFFF" w:sz="0"/>
              <w:right w:val="none" w:color="FFFFFF" w:sz="0"/>
            </w:tcBorders>
            <w:shd w:fill="FBF3F0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A8492F"/>
                <w:spacing w:val="24"/>
                <w:sz w:val="15"/>
                <w:szCs w:val="15"/>
              </w:rPr>
              <w:t xml:space="preserve">ДЕДЛАЙН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При самостоятельном выявлении превышения план мероприятий представляется в АРРФР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6202B"/>
                <w:sz w:val="19"/>
                <w:szCs w:val="19"/>
              </w:rPr>
              <w:t xml:space="preserve">в течение 5 рабочих дней со дня выявления</w:t>
            </w:r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 (п. 102). Представленный план переводит превышение в режим «не нарушение» (п. 99, часть третья); непредставленный оставляет его нарушением. Скорость подачи буквально меняет правовую квалификацию события.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0. Немедленные шаги — дни 0–5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Зафиксировать факт и дату выявления письменно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(служебная записка или протокол): от этой даты идут 5 рабочих дней; кто выявил — банк или АРРФР — меняет основание (п. 102 либо п. 99).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Заморозить расчёт: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НЗ, СП, дата среза, методика (gross, критерии № 61 плюс POCI, периметр с МБК и обратным РЕПО). Одно число во всех документах, расчёт воспроизводим из первичных данных.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Разложить сработку на числитель и знаменатель: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вклад роста НЗ против вклада сжатия СП за 6–12 месяцев. «Портфель испортился» и «портфель сжался» лечатся разными мерами.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Прогнать калькулятор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(calc/limits98.py) на помесячном ряду: сработали ли заодно 98-1 и 98-2 и что даёт проекция п. 105. Если сработали — п. 103 пп. 1 сворачивает всё в один план по 98-3.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Эскалация: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руководство БРМ → Правление / КРВК → СД (п. 12-1 Политики РА). Кандидатуры ответственных руководящих работников согласовать на этом шаге — они нужны в тексте плана.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Представить план в срок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, даже первой версией с консервативными оценками; дорабатывать через процедуру замечаний п. 100.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1. Детальный анализ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Сегментация НЗ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обязательный разрез ФЛ / ЮЛ (п. 99), внутри: продукт, DPD-бакет, винтаж выдачи, признак реструктуризации, обеспеченность, стадия, POCI отдельно. Готовые входы — матрицы Phase C и cure pool контура Stage 3.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Декомпозиция динамики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по уравнению баланса НЗ за каждый месяц: приток (SICR → дефолт, новые 90+) минус отток (cure, списания, продажи, реализация залогов, погашения) плюс-минус эффект знаменателя. Каждому компоненту — свой владелец меры.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Потребительский срез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параллельно проверить 98-7 и 98-8; если они у порога, план сразу строить на все сработавшие лимиты.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Сверка с внешним эталоном: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НЗ против Кредитного регистра и формы 700Н (межформенные контроли приложения К контура AQR). Расхождение, найденное регулятором после подачи плана, дороже найденного до.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2. Прогноз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Считать двумя способами и показывать оба. Первый — по формуле регулятора (п. 105, линейная экстраполяция полугодовой динамики на 12 месяцев): АРРФР увидит именно эту цифру, её нужно знать раньше регулятора. Второй — собственный прогноз (roll-rates по DPD-бакетам, винтажный анализ) с драйверами притока и оттока и сценарием исполнения мер. Расхождение между ними — не проблема, а содержание раздела «обоснование прогноза»: линейная экстраполяция не учитывает мер, сезонности и разовых событий.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Негативные влияния на деятельность (требование п. 99): давление на провизии и капитал, стоимость фондирования, ограничения роста — по каждому одно-два предложения с числом, без каталога ужасов.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3. Меры — по обе стороны дроби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Каждая мера — с владельцем, сроком и ожидаемым эффектом на НЗ/СП в процентных пунктах; сумма эффектов складывается в мост «текущее значение → менее 10 %» с запасом.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Числитель вниз (отток НЗ)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4434"/>
        <w:gridCol w:w="3085"/>
      </w:tblGrid>
      <w:tr>
        <w:trPr>
          <w:tblHeader/>
        </w:trP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Мера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Механизм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Стык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Интенсификация взыскания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приоритизация 90+ по сумме × вероятности возврата, по бакетам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коллекшн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Меню реструктуризаций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кратко- и долгосрочные инструменты; контроль критериев выхода (6/12 месяцев, снижение EAD) и скрытых реструктуризаций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приложение К, разд. 7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Реализация залогов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синхронно с журналами B2E/B2F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приложение К, разд. 8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Продажа / цессия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ОУСА, коллекторские организации; влияние на P&amp;L посчитать до, а не после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юристы, ФД</w:t>
            </w:r>
          </w:p>
        </w:tc>
      </w:tr>
      <w:tr>
        <w:tc>
          <w:tcPr>
            <w:tcW w:type="dxa" w:w="2121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Списание за баланс</w:t>
            </w:r>
          </w:p>
        </w:tc>
        <w:tc>
          <w:tcPr>
            <w:tcW w:type="dxa" w:w="443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по политике списаний; списанная задолженность остаётся объектом раскрытия</w:t>
            </w:r>
          </w:p>
        </w:tc>
        <w:tc>
          <w:tcPr>
            <w:tcW w:type="dxa" w:w="3085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ДБУиО, налоги</w:t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Каталог мер — EBA GL/2018/06, разд. 5; ECB NPL Guidance, гл. 2</w:t>
      </w:r>
    </w:p>
    <w:p>
      <w:pPr>
        <w:pStyle w:val="Heading2"/>
        <w:spacing w:after="110" w:before="280"/>
      </w:pPr>
      <w:r>
        <w:rPr>
          <w:rFonts w:ascii="Times New Roman" w:cs="Times New Roman" w:eastAsia="Times New Roman" w:hAnsi="Times New Roman"/>
          <w:b/>
          <w:bCs/>
          <w:color w:val="16202B"/>
          <w:sz w:val="23"/>
          <w:szCs w:val="23"/>
        </w:rPr>
        <w:t xml:space="preserve">Приток перекрыть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Ужесточение отсечения в выдаче: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порог по мастер-шкале (полоса 34–50 — стоп) — готовый инструмент Приложения № 4 к Политике.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Стоп-факторы по сегментам: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худшие винтажи и продукты из анализа фазы 1.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Ранняя работа с 61–90: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ряд 98-2 — встроенный опережающий индикатор; каждая петля «61-90 → 90+» — прямой приток в НЗ.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none" w:color="FFFFFF" w:sz="0"/>
              <w:left w:val="single" w:color="1C5B57" w:sz="18"/>
              <w:bottom w:val="none" w:color="FFFFFF" w:sz="0"/>
              <w:right w:val="none" w:color="FFFFFF" w:sz="0"/>
            </w:tcBorders>
            <w:shd w:fill="F2F7F6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C5B57"/>
                <w:spacing w:val="24"/>
                <w:sz w:val="15"/>
                <w:szCs w:val="15"/>
              </w:rPr>
              <w:t xml:space="preserve">ЗНАМЕНАТЕЛЬ</w:t>
            </w:r>
          </w:p>
          <w:p>
            <w:r>
              <w:rPr>
                <w:rFonts w:ascii="Times New Roman" w:cs="Times New Roman" w:eastAsia="Times New Roman" w:hAnsi="Times New Roman"/>
                <w:color w:val="16202B"/>
                <w:sz w:val="19"/>
                <w:szCs w:val="19"/>
              </w:rPr>
              <w:t xml:space="preserve">Если вклад сжатия ссудного портфеля существенен — показать это в плане явно и закрывать мерами роста здорового портфеля, а не разгоном выдач ради дроби. Регулятор считает ежемесячно (п. 106) и увидит структуру роста.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4. Помесячный контроль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Болванка обязательной таблицы плана (п. 99: мероприятия по каждому отчётному периоду, в разрезе ФЛ и ЮЛ):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314"/>
        <w:gridCol w:w="1349"/>
        <w:gridCol w:w="1349"/>
        <w:gridCol w:w="1349"/>
        <w:gridCol w:w="1349"/>
        <w:gridCol w:w="1352"/>
      </w:tblGrid>
      <w:tr>
        <w:trPr>
          <w:tblHeader/>
        </w:trPr>
        <w:tc>
          <w:tcPr>
            <w:tcW w:type="dxa" w:w="5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№</w:t>
            </w:r>
          </w:p>
        </w:tc>
        <w:tc>
          <w:tcPr>
            <w:tcW w:type="dxa" w:w="231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Мероприятие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Разрез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Период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Эффект, п.п.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Срок</w:t>
            </w:r>
          </w:p>
        </w:tc>
        <w:tc>
          <w:tcPr>
            <w:tcW w:type="dxa" w:w="135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shd w:fill="EE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/>
                <w:color w:val="5B6B7A"/>
                <w:sz w:val="17"/>
                <w:szCs w:val="17"/>
              </w:rPr>
              <w:t xml:space="preserve">Ответственный</w:t>
            </w:r>
          </w:p>
        </w:tc>
      </w:tr>
      <w:tr>
        <w:tc>
          <w:tcPr>
            <w:tcW w:type="dxa" w:w="5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1</w:t>
            </w:r>
          </w:p>
        </w:tc>
        <w:tc>
          <w:tcPr>
            <w:tcW w:type="dxa" w:w="231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ФЛ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2026-09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5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 (руководящий работник)</w:t>
            </w:r>
          </w:p>
        </w:tc>
      </w:tr>
      <w:tr>
        <w:tc>
          <w:tcPr>
            <w:tcW w:type="dxa" w:w="5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2</w:t>
            </w:r>
          </w:p>
        </w:tc>
        <w:tc>
          <w:tcPr>
            <w:tcW w:type="dxa" w:w="231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ЮЛ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2026-09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</w:t>
            </w:r>
          </w:p>
        </w:tc>
        <w:tc>
          <w:tcPr>
            <w:tcW w:type="dxa" w:w="135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>ЗАПОЛНИТЬ (руководящий работник)</w:t>
            </w:r>
          </w:p>
        </w:tc>
      </w:tr>
      <w:tr>
        <w:tc>
          <w:tcPr>
            <w:tcW w:type="dxa" w:w="578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aps w:val="false"/>
                <w:color w:val="16202B"/>
                <w:sz w:val="19"/>
                <w:szCs w:val="19"/>
              </w:rPr>
              <w:t xml:space="preserve">…</w:t>
            </w:r>
          </w:p>
        </w:tc>
        <w:tc>
          <w:tcPr>
            <w:tcW w:type="dxa" w:w="2314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C8D2DA" w:sz="4"/>
              <w:left w:val="single" w:color="C8D2DA" w:sz="4"/>
              <w:bottom w:val="single" w:color="C8D2DA" w:sz="4"/>
              <w:right w:val="single" w:color="C8D2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aps w:val="false"/>
                <w:color w:val="16202B"/>
                <w:sz w:val="19"/>
                <w:szCs w:val="19"/>
              </w:rPr>
              <w:t xml:space="preserve"/>
            </w:r>
          </w:p>
        </w:tc>
      </w:tr>
    </w:tbl>
    <w:p>
      <w:pPr>
        <w:spacing w:after="220" w:before="80"/>
      </w:pPr>
      <w:r>
        <w:rPr>
          <w:rFonts w:ascii="Times New Roman" w:cs="Times New Roman" w:eastAsia="Times New Roman" w:hAnsi="Times New Roman"/>
          <w:i/>
          <w:iCs/>
          <w:color w:val="5B6B7A"/>
          <w:sz w:val="16"/>
          <w:szCs w:val="16"/>
        </w:rPr>
        <w:t xml:space="preserve">Структура — п. 99 Нормативов № 85; наполнение — после получения рядов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Эффект каждой строки измерим и проверяем по отчётности.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Сумма эффектов закрывает разрыв до менее 10 % с запасом.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Помесячная контрольная точка — собственный расчёт НЗ/СП до регуляторного цикла п. 106.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Отклонение факта от плана на контрольной точке — триггер пересмотра плана, а не молчания.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5. Практика взаимодействия с регулятором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Опережающее раскрытие.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Самостоятельное выявление плюс план в 5 дней — сильнейшая переговорная позиция: формально «не нарушение», репутационно — «банк управляет проблемой». Ждать письма АРРФР — отдать инициативу.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Одна точка входа.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Один владелец коммуникации; все письма, замечания и обсуждения — через него, с протоколированием. Согласование от имени подразделения, а не через индивидуальные договорённости исполнителя.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Одно число во всех документах.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НЗ/СП в плане, форме 50, ответах на замечания и отчёте по ВПОДК (Таблица 2, графы 9–10) сходится до знака: расхождение между собственными документами — главный генератор надзорных вопросов.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Пакет приложений к плану: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методика расчёта НЗ, помесячный ряд, декомпозиция числитель/знаменатель, расчёт проекции п. 105, мост мер до менее 10 %. Любое число пересчитывается из приложенных данных.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Процедура замечаний — рабочий инструмент.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П. 100 прямо предусматривает совместные обсуждения и письменные обоснования несогласия; спорить с замечанием можно и нужно письменно, с расчётом.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Хронология в деле.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Реестр: дата выявления, дата подачи, входящие и исходящие, сроки пп. 99–101. Пропуск регуляторного срока обнуляет любую аналитику.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Аргумент лестницы.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Раздел 6 Закона № 258-VIII выстраивает каскад: признаки ухудшения (ст. 85) → усиленный надзор (ст. 87) → восстановление (ст. 89) → урегулирование (ст. 92). Сработка лимита без плана — вход в признак ст. 85 п. 2 пп. 1; представленный план по п. 99 главы 11 удерживает банк на нулевой ступени. Выход из усиленного надзора — полгода безупречного соблюдения нормативов (ст. 87 п. 6), поэтому план в 5 дней несопоставимо дешевле.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Фаза 6. Внутренний контур — чтобы не повторилось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Ввести НЗ/СП в заявление РА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при пересмотре уровней: трёхзонная лестница ниже регуляторных 10 % (ориентир: зелёная &lt; 8 %, жёлтая 8–9,5 %, красная ≥ 9,5 %; калибровка по волатильности метрики — той же методикой, что сигнальный уровень топ-20). Сработка регуляторного лимита без внутреннего зеркала — сама по себе аргумент существенности по п. 16 пп. 3 Правил № 86.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СРП по 98-1/98-2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(п. 34 пп. 5, 6 Правил № 86): ежемесячный автоматический пересчёт двух рядов и проекции п. 105; жёлтый сигнал — прогнозируется «негативное влияние», красный — сработал триггер монотонности или 5 %.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Ежемесячный внутренний расчёт всех пяти лимитов БРМ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(98-1/2/3/7/8) калькулятором контура — до выхода регуляторной отчётности, чтобы п. 106 никогда не опережал банк.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Условие корректировки уровней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(п. 17 пп. 4 Правил № 86): внести в ВНД правило «изменение регуляторного лимита влечёт пересмотр внутреннего» — та же дыра, что зафиксирована по LCR/NSFR (Г14).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Ориентиры лучшей практики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Для методологии, не для комплаенса; реквизиты перед цитированием проверить.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EBA GL/2018/06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— Guidelines on management of non-performing and forborne exposures: порог внимания NPL ratio 5 %, стратегия NPE, операционный план, выделенные подразделения, политика forbearance.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ECB Guidance to banks on non-performing loans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(2017) и Addendum (2018): сегментация, количественные цели по портфелям и горизонтам, самооценка возможностей, календарное провизирование.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BCBS, Prudential treatment of problem assets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(2017): согласование определений NPE / Stage 3 / 90+.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b/>
          <w:bCs/>
          <w:color w:val="16202B"/>
          <w:sz w:val="21"/>
          <w:szCs w:val="21"/>
        </w:rPr>
        <w:t xml:space="preserve">FSB, Principles for an Effective Risk Appetite Framework</w:t>
      </w: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 (2013): регуляторные лимиты как жёсткие границы риск-ёмкости внутри RAF.</w:t>
      </w:r>
    </w:p>
    <w:p>
      <w:pPr>
        <w:pStyle w:val="Heading1"/>
        <w:pBdr>
          <w:bottom w:val="single" w:color="16202B" w:sz="12" w:space="6"/>
        </w:pBdr>
        <w:spacing w:after="160" w:before="360"/>
      </w:pPr>
      <w:r>
        <w:rPr>
          <w:rFonts w:ascii="Times New Roman" w:cs="Times New Roman" w:eastAsia="Times New Roman" w:hAnsi="Times New Roman"/>
          <w:b/>
          <w:bCs/>
          <w:color w:val="16202B"/>
          <w:sz w:val="28"/>
          <w:szCs w:val="28"/>
        </w:rPr>
        <w:t xml:space="preserve">Открытые вопросы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Дата и субъект выявления превышения (определяет дедлайн).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Фактические ряды для калькулятора: ЗП90, ЗП61-90, НЗ, СП за 7+ месяцев; потребительский срез для 98-7/98-8.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Статус системной значимости Банка (п. 108; связан с Г12).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Владельцы мер вне БРМ (коллекшн, ФД, ДБУиО, юристы) — согласовать до включения в перечень ответственных.</w:t>
      </w:r>
    </w:p>
    <w:p>
      <w:pPr>
        <w:pStyle w:val="ListParagraph"/>
        <w:numPr>
          <w:ilvl w:val="0"/>
          <w:numId w:val="2"/>
        </w:numPr>
        <w:spacing w:after="110" w:line="290"/>
        <w:jc w:val="both"/>
      </w:pPr>
      <w:r>
        <w:rPr>
          <w:rFonts w:ascii="Times New Roman" w:cs="Times New Roman" w:eastAsia="Times New Roman" w:hAnsi="Times New Roman"/>
          <w:color w:val="16202B"/>
          <w:sz w:val="21"/>
          <w:szCs w:val="21"/>
        </w:rPr>
        <w:t xml:space="preserve">Порядок утверждения плана внутри банка (Правление / СД) до подачи в АРРФР — проверить по Уставу и Политике РА.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2026-08-19T07:29:18.481Z</dcterms:created>
  <dcterms:modified xsi:type="dcterms:W3CDTF">2026-08-19T07:29:18.481Z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