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Вставка в записку: остальные одиннадцать метрик</w:t>
      </w:r>
    </w:p>
    <w:p>
      <w:pPr>
        <w:jc w:val="both"/>
      </w:pPr>
      <w:r>
        <w:rPr>
          <w:color w:val="0B0B0B"/>
        </w:rPr>
        <w:t xml:space="preserve">Продолжение сторилайна </w:t>
      </w:r>
      <w:r>
        <w:rPr>
          <w:b/>
          <w:color w:val="0B0B0B"/>
        </w:rPr>
        <w:t>после топ-20</w:t>
      </w:r>
      <w:r>
        <w:rPr>
          <w:color w:val="0B0B0B"/>
        </w:rPr>
        <w:t>. Ставится вслед за разделом о триггерах и заменяет формулировку «параметры зон для остальных показателей должны определяться с учётом характеристик рядов» — она откладывает то, что уже посчитано.</w:t>
      </w:r>
    </w:p>
    <w:p>
      <w:pPr>
        <w:jc w:val="both"/>
      </w:pPr>
      <w:r>
        <w:rPr>
          <w:color w:val="0B0B0B"/>
        </w:rPr>
        <w:t xml:space="preserve">Числа: </w:t>
      </w:r>
      <w:r>
        <w:rPr>
          <w:rFonts w:ascii="Consolas" w:hAnsi="Consolas"/>
          <w:color w:val="0B0B0B"/>
          <w:sz w:val="19"/>
        </w:rPr>
        <w:t>calib/zones_all12.py</w:t>
      </w:r>
      <w:r>
        <w:rPr>
          <w:color w:val="0B0B0B"/>
        </w:rPr>
        <w:t xml:space="preserve">, </w:t>
      </w:r>
      <w:r>
        <w:rPr>
          <w:rFonts w:ascii="Consolas" w:hAnsi="Consolas"/>
          <w:color w:val="0B0B0B"/>
          <w:sz w:val="19"/>
        </w:rPr>
        <w:t>calib/normality_triage.py</w:t>
      </w:r>
      <w:r>
        <w:rPr>
          <w:color w:val="0B0B0B"/>
        </w:rPr>
        <w:t xml:space="preserve">, выгрузка </w:t>
      </w:r>
      <w:r>
        <w:rPr>
          <w:rFonts w:ascii="Consolas" w:hAnsi="Consolas"/>
          <w:color w:val="0B0B0B"/>
          <w:sz w:val="19"/>
        </w:rPr>
        <w:t>data/zones_all12.csv</w:t>
      </w:r>
      <w:r>
        <w:rPr>
          <w:color w:val="0B0B0B"/>
        </w:rPr>
        <w:t>.</w:t>
      </w:r>
    </w:p>
    <w:p>
      <w:pPr>
        <w:pStyle w:val="Heading2"/>
      </w:pPr>
      <w:r>
        <w:t>N. Проверка применимости подхода к остальным одиннадцати показателям</w:t>
      </w:r>
    </w:p>
    <w:p>
      <w:pPr>
        <w:jc w:val="both"/>
      </w:pPr>
      <w:r>
        <w:rPr>
          <w:color w:val="0B0B0B"/>
        </w:rPr>
        <w:t>Разметка по топ-20 построена. Дальше надо ответить, можно ли ту же конструкцию перенести на остальные одиннадцать показателей риск-аппетита по кредитному риску, — и проверка проведена в три шага.</w:t>
      </w:r>
    </w:p>
    <w:p>
      <w:pPr>
        <w:pStyle w:val="Heading3"/>
      </w:pPr>
      <w:r>
        <w:t>N.1 Шаг первый: нормальность приращений</w:t>
      </w:r>
    </w:p>
    <w:p>
      <w:pPr>
        <w:jc w:val="both"/>
      </w:pPr>
      <w:r>
        <w:rPr>
          <w:color w:val="0B0B0B"/>
        </w:rPr>
        <w:t xml:space="preserve">Формула запаса времени </w:t>
      </w:r>
      <w:r>
        <w:rPr>
          <w:rFonts w:ascii="Consolas" w:hAnsi="Consolas"/>
          <w:color w:val="0B0B0B"/>
          <w:sz w:val="19"/>
        </w:rPr>
        <w:t>M(T) = z(p)·σ_Δ·√T</w:t>
      </w:r>
      <w:r>
        <w:rPr>
          <w:color w:val="0B0B0B"/>
        </w:rPr>
        <w:t xml:space="preserve"> опирается на нормальное распределение. Приращения всех двенадцати показателей проверены тремя критериями. </w:t>
      </w:r>
      <w:r>
        <w:rPr>
          <w:b/>
          <w:color w:val="0B0B0B"/>
        </w:rPr>
        <w:t>Формально нормальны три из двенадцати</w:t>
      </w:r>
      <w:r>
        <w:rPr>
          <w:color w:val="0B0B0B"/>
        </w:rPr>
        <w:t>: топ-20, EL по обеспеченному портфелю и EL по прочему портфелю.</w:t>
      </w:r>
    </w:p>
    <w:p>
      <w:pPr>
        <w:jc w:val="both"/>
      </w:pPr>
      <w:r>
        <w:rPr>
          <w:color w:val="0B0B0B"/>
        </w:rPr>
        <w:t>Если остановиться здесь, вывод будет «метод применим к трём показателям». Этот вывод неверен, и следующий шаг объясняет почему.</w:t>
      </w:r>
    </w:p>
    <w:p>
      <w:pPr>
        <w:pStyle w:val="Heading3"/>
      </w:pPr>
      <w:r>
        <w:t>N.2 Шаг второй: что говорит центральная предельная теорема</w:t>
      </w:r>
    </w:p>
    <w:p>
      <w:pPr>
        <w:jc w:val="both"/>
      </w:pPr>
      <w:r>
        <w:rPr>
          <w:color w:val="0B0B0B"/>
        </w:rPr>
        <w:t xml:space="preserve">Формула опирается не на одно месячное приращение, а на </w:t>
      </w:r>
      <w:r>
        <w:rPr>
          <w:b/>
          <w:color w:val="0B0B0B"/>
        </w:rPr>
        <w:t>сумму приращений за период T</w:t>
      </w:r>
      <w:r>
        <w:rPr>
          <w:color w:val="0B0B0B"/>
        </w:rPr>
        <w:t>. По центральной предельной теореме сумма ближе к нормальному распределению, чем отдельные слагаемые: отклонения частично гасят друг друга. Поэтому ненормальность отдельного месяца сама по себе не запрещает применять формулу к ходу за четыре месяца.</w:t>
      </w:r>
    </w:p>
    <w:p>
      <w:pPr>
        <w:ind w:left="480"/>
      </w:pPr>
      <w:r>
        <w:rPr>
          <w:b/>
          <w:i/>
          <w:color w:val="5A5A5A"/>
        </w:rPr>
        <w:t>Оговорка, которую нельзя опускать: на теорему мы не опираемся.</w:t>
      </w:r>
      <w:r>
        <w:rPr>
          <w:i/>
          <w:color w:val="5A5A5A"/>
        </w:rPr>
        <w:t xml:space="preserve"> Она описывает предел</w:t>
      </w:r>
    </w:p>
    <w:p>
      <w:pPr>
        <w:ind w:left="480"/>
      </w:pPr>
      <w:r>
        <w:rPr>
          <w:i/>
          <w:color w:val="5A5A5A"/>
        </w:rPr>
        <w:t>при большом числе слагаемых, а у нас T = 4. Количественная оценка погрешности на таком</w:t>
      </w:r>
    </w:p>
    <w:p>
      <w:pPr>
        <w:ind w:left="480"/>
      </w:pPr>
      <w:r>
        <w:rPr>
          <w:i/>
          <w:color w:val="5A5A5A"/>
        </w:rPr>
        <w:t xml:space="preserve">горизонте даёт границу порядка </w:t>
      </w:r>
      <w:r>
        <w:rPr>
          <w:b/>
          <w:i/>
          <w:color w:val="5A5A5A"/>
        </w:rPr>
        <w:t>±46 процентных пунктов</w:t>
      </w:r>
      <w:r>
        <w:rPr>
          <w:i/>
          <w:color w:val="5A5A5A"/>
        </w:rPr>
        <w:t xml:space="preserve"> — теорема на нашем горизонте</w:t>
      </w:r>
    </w:p>
    <w:p>
      <w:pPr>
        <w:ind w:left="480"/>
      </w:pPr>
      <w:r>
        <w:rPr>
          <w:i/>
          <w:color w:val="5A5A5A"/>
        </w:rPr>
        <w:t xml:space="preserve">не гарантирует ничего. Она объясняет </w:t>
      </w:r>
      <w:r>
        <w:rPr>
          <w:b/>
          <w:i/>
          <w:color w:val="5A5A5A"/>
        </w:rPr>
        <w:t>направление</w:t>
      </w:r>
      <w:r>
        <w:rPr>
          <w:i/>
          <w:color w:val="5A5A5A"/>
        </w:rPr>
        <w:t>, но права на применение формулы</w:t>
      </w:r>
    </w:p>
    <w:p>
      <w:pPr>
        <w:ind w:left="480"/>
      </w:pPr>
      <w:r>
        <w:rPr>
          <w:i/>
          <w:color w:val="5A5A5A"/>
        </w:rPr>
        <w:t>не даёт.</w:t>
      </w:r>
    </w:p>
    <w:p>
      <w:pPr>
        <w:jc w:val="both"/>
      </w:pPr>
      <w:r>
        <w:rPr>
          <w:color w:val="0B0B0B"/>
        </w:rPr>
        <w:t>Следовательно, решает не формальная нормальность и не ссылка на теорему, а прямая проверка.</w:t>
      </w:r>
    </w:p>
    <w:p>
      <w:pPr>
        <w:pStyle w:val="Heading3"/>
      </w:pPr>
      <w:r>
        <w:t>N.3 Шаг третий: прямая проверка — покрывает ли буфер фактические ходы</w:t>
      </w:r>
    </w:p>
    <w:p>
      <w:pPr>
        <w:jc w:val="both"/>
      </w:pPr>
      <w:r>
        <w:rPr>
          <w:color w:val="0B0B0B"/>
        </w:rPr>
        <w:t xml:space="preserve">Заложенный буфер </w:t>
      </w:r>
      <w:r>
        <w:rPr>
          <w:rFonts w:ascii="Consolas" w:hAnsi="Consolas"/>
          <w:color w:val="0B0B0B"/>
          <w:sz w:val="19"/>
        </w:rPr>
        <w:t>z·σ·√T</w:t>
      </w:r>
      <w:r>
        <w:rPr>
          <w:color w:val="0B0B0B"/>
        </w:rPr>
        <w:t xml:space="preserve"> сопоставлен с </w:t>
      </w:r>
      <w:r>
        <w:rPr>
          <w:b/>
          <w:color w:val="0B0B0B"/>
        </w:rPr>
        <w:t>эмпирическим девятым децилем фактических четырёхмесячных изменений</w:t>
      </w:r>
      <w:r>
        <w:rPr>
          <w:color w:val="0B0B0B"/>
        </w:rPr>
        <w:t xml:space="preserve"> каждого показателя. Результат:</w:t>
      </w:r>
    </w:p>
    <w:p>
      <w:pPr>
        <w:pStyle w:val="ListBullet"/>
      </w:pPr>
      <w:r>
        <w:rPr>
          <w:color w:val="0B0B0B"/>
        </w:rPr>
        <w:t xml:space="preserve">модель </w:t>
      </w:r>
      <w:r>
        <w:rPr>
          <w:b/>
          <w:color w:val="0B0B0B"/>
        </w:rPr>
        <w:t>нигде не занижает</w:t>
      </w:r>
      <w:r>
        <w:rPr>
          <w:color w:val="0B0B0B"/>
        </w:rPr>
        <w:t xml:space="preserve"> буфер — она его завышает;</w:t>
      </w:r>
    </w:p>
    <w:p>
      <w:pPr>
        <w:pStyle w:val="ListBullet"/>
      </w:pPr>
      <w:r>
        <w:rPr>
          <w:color w:val="0B0B0B"/>
        </w:rPr>
        <w:t xml:space="preserve">причина завышения не в форме распределения, а в </w:t>
      </w:r>
      <w:r>
        <w:rPr>
          <w:b/>
          <w:color w:val="0B0B0B"/>
        </w:rPr>
        <w:t>сносе</w:t>
      </w:r>
      <w:r>
        <w:rPr>
          <w:color w:val="0B0B0B"/>
        </w:rPr>
        <w:t>: показатели EL и PD снижаются</w:t>
      </w:r>
    </w:p>
    <w:p>
      <w:pPr>
        <w:jc w:val="both"/>
      </w:pPr>
      <w:r>
        <w:rPr>
          <w:color w:val="0B0B0B"/>
        </w:rPr>
        <w:t>три года подряд, а формула считает снос нулевым;</w:t>
      </w:r>
    </w:p>
    <w:p>
      <w:pPr>
        <w:pStyle w:val="ListBullet"/>
      </w:pPr>
      <w:r>
        <w:rPr>
          <w:color w:val="0B0B0B"/>
        </w:rPr>
        <w:t xml:space="preserve">снос в зачёт </w:t>
      </w:r>
      <w:r>
        <w:rPr>
          <w:b/>
          <w:color w:val="0B0B0B"/>
        </w:rPr>
        <w:t>сознательно не берётся</w:t>
      </w:r>
      <w:r>
        <w:rPr>
          <w:color w:val="0B0B0B"/>
        </w:rPr>
        <w:t xml:space="preserve"> — иначе разметка опиралась бы на предположение</w:t>
      </w:r>
    </w:p>
    <w:p>
      <w:pPr>
        <w:jc w:val="both"/>
      </w:pPr>
      <w:r>
        <w:rPr>
          <w:color w:val="0B0B0B"/>
        </w:rPr>
        <w:t>о продолжении благоприятной тенденции.</w:t>
      </w:r>
    </w:p>
    <w:p>
      <w:pPr>
        <w:jc w:val="both"/>
      </w:pPr>
      <w:r>
        <w:rPr>
          <w:b/>
          <w:color w:val="0B0B0B"/>
        </w:rPr>
        <w:t>Вывод: подход применим к десяти показателям из двенадцати.</w:t>
      </w:r>
      <w:r>
        <w:rPr>
          <w:color w:val="0B0B0B"/>
        </w:rPr>
        <w:t xml:space="preserve"> Не применим к двум — обеим метрикам стоимости риска, и по причине, к нормальности отношения не имеющей.</w:t>
      </w:r>
    </w:p>
    <w:p>
      <w:pPr>
        <w:pStyle w:val="Heading2"/>
      </w:pPr>
      <w:r>
        <w:t>N+1. Девять розничных показателей: та же формула, но с оговоркой о расстоянии</w:t>
      </w:r>
    </w:p>
    <w:p>
      <w:pPr>
        <w:jc w:val="both"/>
      </w:pPr>
      <w:r>
        <w:rPr>
          <w:color w:val="0B0B0B"/>
        </w:rPr>
        <w:t xml:space="preserve">К пяти показателям вероятности дефолта и четырём показателям ожидаемых потерь по розничному бизнесу применена </w:t>
      </w:r>
      <w:r>
        <w:rPr>
          <w:b/>
          <w:color w:val="0B0B0B"/>
        </w:rPr>
        <w:t>та же формула запаса времени</w:t>
      </w:r>
      <w:r>
        <w:rPr>
          <w:color w:val="0B0B0B"/>
        </w:rPr>
        <w:t xml:space="preserve"> с теми же параметрами: T = 4 месяца для границы зелёной зоны, T = 1 месяц для границы жёлтой, z(0,90) = 1,2816.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color w:val="0B0B0B"/>
              </w:rPr>
              <w:t>Показатель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σ_Δ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Граница зелёной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Граница жёлтой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Зона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EL — необеспеченный портфель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10,00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7,57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0,127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9,68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9,84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EL — общий портфель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9,00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2,76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0,080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8,79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8,90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EL — обеспеченный портфель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7,00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1,64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0,052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6,87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6,93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EL — прочий портфель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10,00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2,47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0,085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9,78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9,89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PD — необеспеченные кредиты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15,00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10,96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0,123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14,68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14,84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PD — необеспеченные денежные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15,00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11,05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0,145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14,63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14,81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PD — необеспеченные товарные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15,00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10,59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0,101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14,74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14,87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PD — обеспеченные кредиты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7,00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5,01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0,100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6,74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6,87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PD — прочие кредитные продукты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14,00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3,65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0,104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13,73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13,87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</w:tbl>
    <w:p/>
    <w:p>
      <w:pPr>
        <w:jc w:val="both"/>
      </w:pPr>
      <w:r>
        <w:rPr>
          <w:b/>
          <w:color w:val="0B0B0B"/>
        </w:rPr>
        <w:t>Все девять — в зелёной зоне.</w:t>
      </w:r>
      <w:r>
        <w:rPr>
          <w:color w:val="0B0B0B"/>
        </w:rPr>
        <w:t xml:space="preserve"> Но сказать только это означало бы ввести читателя в заблуждение, и поэтому дальше идёт оговорка, без которой таблица бесполезна.</w:t>
      </w:r>
    </w:p>
    <w:p>
      <w:pPr>
        <w:pStyle w:val="Heading3"/>
      </w:pPr>
      <w:r>
        <w:t>N+1.1 Насколько далеко эти показатели от своих уровней</w:t>
      </w:r>
    </w:p>
    <w:p>
      <w:pPr>
        <w:jc w:val="both"/>
      </w:pPr>
      <w:r>
        <w:rPr>
          <w:color w:val="0B0B0B"/>
        </w:rPr>
        <w:t xml:space="preserve">Расстояние измерено в единицах собственной волатильности показателя: </w:t>
      </w:r>
      <w:r>
        <w:rPr>
          <w:b/>
          <w:color w:val="0B0B0B"/>
        </w:rPr>
        <w:t>D = (уровень − факт) / σ_Δ</w:t>
      </w:r>
      <w:r>
        <w:rPr>
          <w:color w:val="0B0B0B"/>
        </w:rPr>
        <w:t xml:space="preserve">. И отдельно — время, за которое показатель физически дойдёт до уровня при такой волатильности: </w:t>
      </w:r>
      <w:r>
        <w:rPr>
          <w:b/>
          <w:color w:val="0B0B0B"/>
        </w:rPr>
        <w:t>T\* = (D / z)²</w:t>
      </w:r>
      <w:r>
        <w:rPr>
          <w:color w:val="0B0B0B"/>
        </w:rPr>
        <w:t xml:space="preserve"> месяцев.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D, σ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Время до уровня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EL — необеспеченный портфель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19,2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19 лет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PD — обеспеченные кредиты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19,9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20 лет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PD — необеспеченные денежные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27,3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38 лет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PD — необеспеченные кредиты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32,7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54 года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PD — необеспеченные товарные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43,7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97 лет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EL — общий портфель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77,9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308 лет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EL — прочий портфель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88,3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395 лет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PD — прочие кредитные продукты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99,4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502 года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EL — обеспеченный портфель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103,9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548 лет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Для сравнения: топ-20 находится на расстоянии </w:t>
      </w:r>
      <w:r>
        <w:rPr>
          <w:b/>
          <w:color w:val="0B0B0B"/>
        </w:rPr>
        <w:t>1,8 σ</w:t>
      </w:r>
      <w:r>
        <w:rPr>
          <w:color w:val="0B0B0B"/>
        </w:rPr>
        <w:t xml:space="preserve"> от своего уровня, то есть два месяца хода.</w:t>
      </w:r>
    </w:p>
    <w:p>
      <w:pPr>
        <w:jc w:val="both"/>
      </w:pPr>
      <w:r>
        <w:rPr>
          <w:b/>
          <w:color w:val="0B0B0B"/>
        </w:rPr>
        <w:t>Что из этого следует.</w:t>
      </w:r>
      <w:r>
        <w:rPr>
          <w:color w:val="0B0B0B"/>
        </w:rPr>
        <w:t xml:space="preserve"> По всем девяти розничным показателям зона строится арифметически корректно, но </w:t>
      </w:r>
      <w:r>
        <w:rPr>
          <w:b/>
          <w:color w:val="0B0B0B"/>
        </w:rPr>
        <w:t>не сработает</w:t>
      </w:r>
      <w:r>
        <w:rPr>
          <w:color w:val="0B0B0B"/>
        </w:rPr>
        <w:t>: граница зелёной зоны стоит на 96–98 % уровня, а сам показатель находится на 23–76 % уровня. Разметка вводится для полноты и для выполнения требования об уровне, определённом как допустимый, но в качестве раннего предупреждения на этих показателях работать не будет.</w:t>
      </w:r>
    </w:p>
    <w:p>
      <w:pPr>
        <w:jc w:val="both"/>
      </w:pPr>
      <w:r>
        <w:rPr>
          <w:b/>
          <w:color w:val="0B0B0B"/>
        </w:rPr>
        <w:t>Вывод здесь не о методе, а об уровнях.</w:t>
      </w:r>
      <w:r>
        <w:rPr>
          <w:color w:val="0B0B0B"/>
        </w:rPr>
        <w:t xml:space="preserve"> Показатель, отстоящий от своего уровня на 78–104 стандартных отклонения, этим уровнем не ограничен. Целесообразно вынести пересмотр уровней по четырём таким показателям — EL общий, EL обеспеченный, EL прочий, PD прочие — отдельным вопросом.</w:t>
      </w:r>
    </w:p>
    <w:p>
      <w:pPr>
        <w:ind w:left="480"/>
      </w:pPr>
      <w:r>
        <w:rPr>
          <w:b/>
          <w:i/>
          <w:color w:val="5A5A5A"/>
        </w:rPr>
        <w:t>Оговорка, без которой числа вводят в заблуждение.</w:t>
      </w:r>
      <w:r>
        <w:rPr>
          <w:i/>
          <w:color w:val="5A5A5A"/>
        </w:rPr>
        <w:t xml:space="preserve"> Время до уровня посчитано</w:t>
      </w:r>
    </w:p>
    <w:p>
      <w:pPr>
        <w:ind w:left="480"/>
      </w:pPr>
      <w:r>
        <w:rPr>
          <w:i/>
          <w:color w:val="5A5A5A"/>
        </w:rPr>
        <w:t>на волатильности окна август 2023 — июль 2026. Окно благополучное: EL и PD снижаются</w:t>
      </w:r>
    </w:p>
    <w:p>
      <w:pPr>
        <w:ind w:left="480"/>
      </w:pPr>
      <w:r>
        <w:rPr>
          <w:i/>
          <w:color w:val="5A5A5A"/>
        </w:rPr>
        <w:t>три года подряд. «548 лет» означает **«при такой же волатильности, как последние три</w:t>
      </w:r>
    </w:p>
    <w:p>
      <w:pPr>
        <w:ind w:left="480"/>
      </w:pPr>
      <w:r>
        <w:rPr>
          <w:i/>
          <w:color w:val="5A5A5A"/>
        </w:rPr>
        <w:t>года»**, а не «никогда». Структурный сдвиг меняет σ, и вместе с ней все выводы этого</w:t>
      </w:r>
    </w:p>
    <w:p>
      <w:pPr>
        <w:ind w:left="480"/>
      </w:pPr>
      <w:r>
        <w:rPr>
          <w:i/>
          <w:color w:val="5A5A5A"/>
        </w:rPr>
        <w:t>раздела. Поэтому четыре показателя выше — повод пересмотреть уровень, а не основание</w:t>
      </w:r>
    </w:p>
    <w:p>
      <w:pPr>
        <w:ind w:left="480"/>
      </w:pPr>
      <w:r>
        <w:rPr>
          <w:i/>
          <w:color w:val="5A5A5A"/>
        </w:rPr>
        <w:t>считать соответствующие портфели безрисковыми.</w:t>
      </w:r>
    </w:p>
    <w:p>
      <w:pPr>
        <w:pStyle w:val="Heading2"/>
      </w:pPr>
      <w:r>
        <w:t>N+2. Две метрики стоимости риска: формула запаса времени неприменима</w:t>
      </w:r>
    </w:p>
    <w:p>
      <w:pPr>
        <w:pStyle w:val="Heading3"/>
      </w:pPr>
      <w:r>
        <w:t>N+2.1 Почему</w:t>
      </w:r>
    </w:p>
    <w:p>
      <w:pPr>
        <w:jc w:val="both"/>
      </w:pPr>
      <w:r>
        <w:rPr>
          <w:color w:val="0B0B0B"/>
        </w:rPr>
        <w:t xml:space="preserve">По стоимости риска корпоративного бизнеса буфер на цикл реагирования составляет </w:t>
      </w:r>
      <w:r>
        <w:rPr>
          <w:b/>
          <w:color w:val="0B0B0B"/>
        </w:rPr>
        <w:t>M(4) = 3,285 при уровне 3,00</w:t>
      </w:r>
      <w:r>
        <w:rPr>
          <w:color w:val="0B0B0B"/>
        </w:rPr>
        <w:t>: буфер больше самого уровня, граница зелёной зоны уходит в отрицательную область, зона вырождается арифметически.</w:t>
      </w:r>
    </w:p>
    <w:p>
      <w:pPr>
        <w:jc w:val="both"/>
      </w:pPr>
      <w:r>
        <w:rPr>
          <w:color w:val="0B0B0B"/>
        </w:rPr>
        <w:t xml:space="preserve">Причина не в форме распределения, а в </w:t>
      </w:r>
      <w:r>
        <w:rPr>
          <w:b/>
          <w:color w:val="0B0B0B"/>
        </w:rPr>
        <w:t>ином характере движения</w:t>
      </w:r>
      <w:r>
        <w:rPr>
          <w:color w:val="0B0B0B"/>
        </w:rPr>
        <w:t>. Показатель колеблется в диапазоне от −7,6 % до +2,3 % при уровне 3,0 %, то есть его собственный размах сопоставим с уровнем и в значительной части времени показатель отрицателен — это чистый роспуск провизий. Расстояние до уровня перестаёт быть содержательной величиной.</w:t>
      </w:r>
    </w:p>
    <w:p>
      <w:pPr>
        <w:pStyle w:val="Heading3"/>
      </w:pPr>
      <w:r>
        <w:t>N+2.2 Применённый метод</w:t>
      </w:r>
    </w:p>
    <w:p>
      <w:pPr>
        <w:jc w:val="both"/>
      </w:pPr>
      <w:r>
        <w:rPr>
          <w:color w:val="0B0B0B"/>
        </w:rPr>
        <w:t xml:space="preserve">Для обеих метрик стоимости риска граница определена как </w:t>
      </w:r>
      <w:r>
        <w:rPr>
          <w:b/>
          <w:color w:val="0B0B0B"/>
        </w:rPr>
        <w:t>девятый дециль всех значений показателя за 36 месяцев</w:t>
      </w:r>
      <w:r>
        <w:rPr>
          <w:color w:val="0B0B0B"/>
        </w:rPr>
        <w:t xml:space="preserve"> с предварительным отсечением выбросов по межквартильному размаху.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color w:val="0B0B0B"/>
              </w:rPr>
              <w:t>Показатель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Отсечено выбросов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Граница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В % уровня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Факт 07.2026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Зона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CoR — корпоративный бизнес и Приват-Банкинг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3,00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 (02.2024: −7,64)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+0,52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17,5 %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−0,27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зелёная</w:t>
            </w:r>
          </w:p>
        </w:tc>
      </w:tr>
      <w:tr>
        <w:tc>
          <w:tcPr>
            <w:tcW w:type="dxa" w:w="1234"/>
          </w:tcPr>
          <w:p>
            <w:r>
              <w:rPr>
                <w:color w:val="0B0B0B"/>
              </w:rPr>
              <w:t>CoR — малый и средний бизнес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3,50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1 (03.2025: −3,41)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+0,24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6,8 %</w:t>
            </w:r>
          </w:p>
        </w:tc>
        <w:tc>
          <w:tcPr>
            <w:tcW w:type="dxa" w:w="1234"/>
          </w:tcPr>
          <w:p>
            <w:r>
              <w:rPr>
                <w:color w:val="0B0B0B"/>
              </w:rPr>
              <w:t>+0,27</w:t>
            </w:r>
          </w:p>
        </w:tc>
        <w:tc>
          <w:tcPr>
            <w:tcW w:type="dxa" w:w="1234"/>
          </w:tcPr>
          <w:p>
            <w:r>
              <w:rPr>
                <w:b/>
                <w:color w:val="0B0B0B"/>
              </w:rPr>
              <w:t>жёлтая</w:t>
            </w:r>
          </w:p>
        </w:tc>
      </w:tr>
    </w:tbl>
    <w:p/>
    <w:p>
      <w:pPr>
        <w:jc w:val="both"/>
      </w:pPr>
      <w:r>
        <w:rPr>
          <w:color w:val="0B0B0B"/>
        </w:rPr>
        <w:t>Смысл границы: показатель провёл ниже неё девять из десяти месяцев наблюдаемой истории. Выход выше означает, что показатель покинул свой обычный диапазон.</w:t>
      </w:r>
    </w:p>
    <w:p>
      <w:pPr>
        <w:pStyle w:val="Heading3"/>
      </w:pPr>
      <w:r>
        <w:t>N+2.3 Что при этом меняется в смысле слова «жёлтая» — и это надо сказать</w:t>
      </w:r>
    </w:p>
    <w:p>
      <w:pPr>
        <w:ind w:left="480"/>
      </w:pPr>
      <w:r>
        <w:rPr>
          <w:i/>
          <w:color w:val="5A5A5A"/>
        </w:rPr>
        <w:t xml:space="preserve">⚠ По десяти показателям зона отвечает на вопрос </w:t>
      </w:r>
      <w:r>
        <w:rPr>
          <w:b/>
          <w:i/>
          <w:color w:val="5A5A5A"/>
        </w:rPr>
        <w:t>«сколько осталось до уровня»</w:t>
      </w:r>
      <w:r>
        <w:rPr>
          <w:i/>
          <w:color w:val="5A5A5A"/>
        </w:rPr>
        <w:t>.</w:t>
      </w:r>
    </w:p>
    <w:p>
      <w:pPr>
        <w:ind w:left="480"/>
      </w:pPr>
      <w:r>
        <w:rPr>
          <w:i/>
          <w:color w:val="5A5A5A"/>
        </w:rPr>
        <w:t>По двум метрикам стоимости риска она отвечает на другой вопрос — **«вышел ли показатель</w:t>
      </w:r>
    </w:p>
    <w:p>
      <w:pPr>
        <w:ind w:left="480"/>
      </w:pPr>
      <w:r>
        <w:rPr>
          <w:i/>
          <w:color w:val="5A5A5A"/>
        </w:rPr>
        <w:t>за пределы своего обычного диапазона»**. Это разные величины, и в одной таблице они</w:t>
      </w:r>
    </w:p>
    <w:p>
      <w:pPr>
        <w:ind w:left="480"/>
      </w:pPr>
      <w:r>
        <w:rPr>
          <w:i/>
          <w:color w:val="5A5A5A"/>
        </w:rPr>
        <w:t>обозначены одним цветом.</w:t>
      </w:r>
    </w:p>
    <w:p>
      <w:pPr>
        <w:ind w:left="480"/>
      </w:pPr>
    </w:p>
    <w:p>
      <w:pPr>
        <w:ind w:left="480"/>
      </w:pPr>
      <w:r>
        <w:rPr>
          <w:i/>
          <w:color w:val="5A5A5A"/>
        </w:rPr>
        <w:t>Практическое следствие видно сразу: стоимость риска по МСБ при фактическом значении</w:t>
      </w:r>
    </w:p>
    <w:p>
      <w:pPr>
        <w:ind w:left="480"/>
      </w:pPr>
      <w:r>
        <w:rPr>
          <w:i/>
          <w:color w:val="5A5A5A"/>
        </w:rPr>
        <w:t>+0,27 % и уровне 3,5 % попадает в жёлтую зону, имея **3,26 процентных пункта запаса</w:t>
      </w:r>
    </w:p>
    <w:p>
      <w:pPr>
        <w:ind w:left="480"/>
      </w:pPr>
      <w:r>
        <w:rPr>
          <w:i/>
          <w:color w:val="5A5A5A"/>
        </w:rPr>
        <w:t>до уровня**. Формулировка «уровень, требующий отдельных корректирующих мер» к такому</w:t>
      </w:r>
    </w:p>
    <w:p>
      <w:pPr>
        <w:ind w:left="480"/>
      </w:pPr>
      <w:r>
        <w:rPr>
          <w:i/>
          <w:color w:val="5A5A5A"/>
        </w:rPr>
        <w:t>случаю не подходит.</w:t>
      </w:r>
    </w:p>
    <w:p>
      <w:pPr>
        <w:ind w:left="480"/>
      </w:pPr>
    </w:p>
    <w:p>
      <w:pPr>
        <w:ind w:left="480"/>
      </w:pPr>
      <w:r>
        <w:rPr>
          <w:b/>
          <w:i/>
          <w:color w:val="5A5A5A"/>
        </w:rPr>
        <w:t>Два способа это снять, и выбор принадлежит уполномоченному органу:</w:t>
      </w:r>
    </w:p>
    <w:p>
      <w:pPr>
        <w:ind w:left="480"/>
      </w:pPr>
      <w:r>
        <w:rPr>
          <w:i/>
          <w:color w:val="5A5A5A"/>
        </w:rPr>
        <w:t>1. Сохранить метод, но для метрик стоимости риска переименовать состояние: не «жёлтая</w:t>
      </w:r>
    </w:p>
    <w:p>
      <w:pPr>
        <w:ind w:left="480"/>
      </w:pPr>
      <w:r>
        <w:rPr>
          <w:i/>
          <w:color w:val="5A5A5A"/>
        </w:rPr>
        <w:t>зона», а «выход за пределы обычного диапазона» — с отдельной, более мягкой мерой.</w:t>
      </w:r>
    </w:p>
    <w:p>
      <w:pPr>
        <w:ind w:left="480"/>
      </w:pPr>
      <w:r>
        <w:rPr>
          <w:i/>
          <w:color w:val="5A5A5A"/>
        </w:rPr>
        <w:t xml:space="preserve">2. Показывать по стоимости риска </w:t>
      </w:r>
      <w:r>
        <w:rPr>
          <w:b/>
          <w:i/>
          <w:color w:val="5A5A5A"/>
        </w:rPr>
        <w:t>две величины одновременно</w:t>
      </w:r>
      <w:r>
        <w:rPr>
          <w:i/>
          <w:color w:val="5A5A5A"/>
        </w:rPr>
        <w:t>: положение относительно</w:t>
      </w:r>
    </w:p>
    <w:p>
      <w:pPr>
        <w:ind w:left="480"/>
      </w:pPr>
      <w:r>
        <w:rPr>
          <w:i/>
          <w:color w:val="5A5A5A"/>
        </w:rPr>
        <w:t>уровня и положение относительно собственной истории. Тогда цвет остаётся единым</w:t>
      </w:r>
    </w:p>
    <w:p>
      <w:pPr>
        <w:ind w:left="480"/>
      </w:pPr>
      <w:r>
        <w:rPr>
          <w:i/>
          <w:color w:val="5A5A5A"/>
        </w:rPr>
        <w:t>по смыслу, а информация о выходе из диапазона не теряется.</w:t>
      </w:r>
    </w:p>
    <w:p>
      <w:pPr>
        <w:ind w:left="480"/>
      </w:pPr>
    </w:p>
    <w:p>
      <w:pPr>
        <w:ind w:left="480"/>
      </w:pPr>
      <w:r>
        <w:rPr>
          <w:i/>
          <w:color w:val="5A5A5A"/>
        </w:rPr>
        <w:t>Вариант, при котором одно слово «жёлтая» означает в одной таблице две разные вещи,</w:t>
      </w:r>
    </w:p>
    <w:p>
      <w:pPr>
        <w:ind w:left="480"/>
      </w:pPr>
      <w:r>
        <w:rPr>
          <w:i/>
          <w:color w:val="5A5A5A"/>
        </w:rPr>
        <w:t>выносить на решение нельзя.</w:t>
      </w:r>
    </w:p>
    <w:p>
      <w:pPr>
        <w:pStyle w:val="Heading3"/>
      </w:pPr>
      <w:r>
        <w:t>N+2.4 Отдельно: обе метрики размечены предварительно</w:t>
      </w:r>
    </w:p>
    <w:p>
      <w:pPr>
        <w:jc w:val="both"/>
      </w:pPr>
      <w:r>
        <w:rPr>
          <w:color w:val="0B0B0B"/>
        </w:rPr>
        <w:t xml:space="preserve">Природа ряда стоимости риска не установлена. В отчёте показатель назван «текущим годовым уровнем», однако формула его расчёта отсутствует на </w:t>
      </w:r>
      <w:r>
        <w:rPr>
          <w:b/>
          <w:color w:val="0B0B0B"/>
        </w:rPr>
        <w:t>всех</w:t>
      </w:r>
      <w:r>
        <w:rPr>
          <w:color w:val="0B0B0B"/>
        </w:rPr>
        <w:t xml:space="preserve"> листах формы 50 — значения вписаны, в отличие от EL и PD, которые являются внешними ссылками.</w:t>
      </w:r>
    </w:p>
    <w:p>
      <w:pPr>
        <w:jc w:val="both"/>
      </w:pPr>
      <w:r>
        <w:rPr>
          <w:color w:val="0B0B0B"/>
        </w:rPr>
        <w:t xml:space="preserve">Кроме того, волатильность обеих метрик </w:t>
      </w:r>
      <w:r>
        <w:rPr>
          <w:b/>
          <w:color w:val="0B0B0B"/>
        </w:rPr>
        <w:t>неоднородна по календарю</w:t>
      </w:r>
      <w:r>
        <w:rPr>
          <w:color w:val="0B0B0B"/>
        </w:rPr>
        <w:t>: в феврале-марте она превышает волатильность остальных месяцев в 5,04 раза по корпоративному бизнесу и в 4,86 по МСБ, тогда как ни у одного из остальных десяти показателей это отношение не превышает 1,76. Причина не установлена.</w:t>
      </w:r>
    </w:p>
    <w:p>
      <w:pPr>
        <w:jc w:val="both"/>
      </w:pPr>
      <w:r>
        <w:rPr>
          <w:color w:val="0B0B0B"/>
        </w:rPr>
        <w:t xml:space="preserve">До подтверждения методологии расчёта ряда разметка обеих метрик стоимости риска </w:t>
      </w:r>
      <w:r>
        <w:rPr>
          <w:b/>
          <w:color w:val="0B0B0B"/>
        </w:rPr>
        <w:t>действительна условно</w:t>
      </w:r>
      <w:r>
        <w:rPr>
          <w:color w:val="0B0B0B"/>
        </w:rPr>
        <w:t xml:space="preserve"> и не используется как основание для окончательной калибровки. Остальные десять показателей от этого вопроса не зависят.</w:t>
      </w:r>
    </w:p>
    <w:p>
      <w:pPr>
        <w:pStyle w:val="Heading2"/>
      </w:pPr>
      <w:r>
        <w:t>N+3. Сводка: чем размечен каждый из двенадцати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Метод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Показателей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Какие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 xml:space="preserve">Запас времени </w:t>
            </w:r>
            <w:r>
              <w:rPr>
                <w:rFonts w:ascii="Consolas" w:hAnsi="Consolas"/>
                <w:color w:val="0B0B0B"/>
                <w:sz w:val="19"/>
              </w:rPr>
              <w:t>M(T) = z·σ·√T</w:t>
            </w:r>
            <w:r>
              <w:rPr>
                <w:color w:val="0B0B0B"/>
              </w:rPr>
              <w:t>, зона предупреждает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топ-20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Запас времени, зона строится формально и не сработает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пять PD и четыре EL по розничному бизнесу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Девятый дециль значений за 36 месяцев с отсечением выбросов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стоимость риска по КБ/ПБ и по МСБ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Единственный показатель, по которому разметка работает как инструмент раннего предупреждения сегодня, — </w:t>
      </w:r>
      <w:r>
        <w:rPr>
          <w:b/>
          <w:color w:val="0B0B0B"/>
        </w:rPr>
        <w:t>топ-20</w:t>
      </w:r>
      <w:r>
        <w:rPr>
          <w:color w:val="0B0B0B"/>
        </w:rPr>
        <w:t>. По девяти розничным показателям она формально корректна и практически неинформативна из-за удалённости уровней. По двум метрикам стоимости риска она измеряет другую величину и предварительна.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