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Дамира — формулировка для фиксации задачи</w:t>
      </w:r>
    </w:p>
    <w:p>
      <w:pPr>
        <w:pStyle w:val="Heading2"/>
      </w:pPr>
      <w:r>
        <w:t>Для мессенджера, две строки</w:t>
      </w:r>
    </w:p>
    <w:p>
      <w:pPr>
        <w:ind w:left="480"/>
      </w:pPr>
      <w:r>
        <w:rPr>
          <w:i/>
          <w:color w:val="5A5A5A"/>
        </w:rPr>
        <w:t>Дамир поставил следующий этап по риск-аппетиту: (1) углубить аналитику по стоимости риска</w:t>
      </w:r>
    </w:p>
    <w:p>
      <w:pPr>
        <w:ind w:left="480"/>
      </w:pPr>
      <w:r>
        <w:rPr>
          <w:i/>
          <w:color w:val="5A5A5A"/>
        </w:rPr>
        <w:t>с разбором в разрезе шкалы рейтинга клиента и рейтинга сделки; (2) провести осмысление</w:t>
      </w:r>
    </w:p>
    <w:p>
      <w:pPr>
        <w:ind w:left="480"/>
      </w:pPr>
      <w:r>
        <w:rPr>
          <w:i/>
          <w:color w:val="5A5A5A"/>
        </w:rPr>
        <w:t>системы риск-аппетита в целом — актуальны ли её значения и меры, верно ли она показывает</w:t>
      </w:r>
    </w:p>
    <w:p>
      <w:pPr>
        <w:ind w:left="480"/>
      </w:pPr>
      <w:r>
        <w:rPr>
          <w:i/>
          <w:color w:val="5A5A5A"/>
        </w:rPr>
        <w:t>наши риски, движение и концентрацию, и справляется ли со своей задачей.</w:t>
      </w:r>
    </w:p>
    <w:p>
      <w:pPr>
        <w:ind w:left="480"/>
      </w:pPr>
    </w:p>
    <w:p>
      <w:pPr>
        <w:ind w:left="480"/>
      </w:pPr>
      <w:r>
        <w:rPr>
          <w:i/>
          <w:color w:val="5A5A5A"/>
        </w:rPr>
        <w:t>Сроки обсуждаем отдельно: этап 1 (аналитическая записка и шаблон мер) закрываем к 30.09,</w:t>
      </w:r>
    </w:p>
    <w:p>
      <w:pPr>
        <w:ind w:left="480"/>
      </w:pPr>
      <w:r>
        <w:rPr>
          <w:i/>
          <w:color w:val="5A5A5A"/>
        </w:rPr>
        <w:t>этот этап — после него.</w:t>
      </w:r>
    </w:p>
    <w:p>
      <w:pPr>
        <w:pStyle w:val="Heading2"/>
      </w:pPr>
      <w:r>
        <w:t>Развёрнутая формулировка для фиксации</w:t>
      </w:r>
    </w:p>
    <w:p>
      <w:pPr>
        <w:jc w:val="both"/>
      </w:pPr>
      <w:r>
        <w:rPr>
          <w:b/>
          <w:color w:val="0B0B0B"/>
        </w:rPr>
        <w:t>Что поручено.</w:t>
      </w:r>
    </w:p>
    <w:p>
      <w:pPr>
        <w:pStyle w:val="ListNumber"/>
      </w:pPr>
      <w:r>
        <w:rPr>
          <w:b/>
          <w:color w:val="0B0B0B"/>
        </w:rPr>
        <w:t>Углублённая аналитика по стоимости риска.</w:t>
      </w:r>
      <w:r>
        <w:rPr>
          <w:color w:val="0B0B0B"/>
        </w:rPr>
        <w:t xml:space="preserve"> Разобрать CoR по корпоративному бизнесу</w:t>
      </w:r>
    </w:p>
    <w:p>
      <w:pPr>
        <w:jc w:val="both"/>
      </w:pPr>
      <w:r>
        <w:rPr>
          <w:color w:val="0B0B0B"/>
        </w:rPr>
        <w:t>и МСБ в разрезе мастер-шкалы — рейтинг клиента × рейтинг сделки. Связать движение показателя со структурой портфеля по рейтинговым группам, а не только с его собственной динамикой.</w:t>
      </w:r>
    </w:p>
    <w:p>
      <w:pPr>
        <w:pStyle w:val="ListNumber"/>
      </w:pPr>
      <w:r>
        <w:rPr>
          <w:b/>
          <w:color w:val="0B0B0B"/>
        </w:rPr>
        <w:t>Осмысление системы риск-аппетита.</w:t>
      </w:r>
      <w:r>
        <w:rPr>
          <w:color w:val="0B0B0B"/>
        </w:rPr>
        <w:t xml:space="preserve"> Оценить, актуальны ли действующие значения уровней</w:t>
      </w:r>
    </w:p>
    <w:p>
      <w:pPr>
        <w:jc w:val="both"/>
      </w:pPr>
      <w:r>
        <w:rPr>
          <w:color w:val="0B0B0B"/>
        </w:rPr>
        <w:t>и меры реагирования; отражает ли система фактические риски Банка, их движение и концентрацию; справляется ли она со своей заявленной целью.</w:t>
      </w:r>
    </w:p>
    <w:p>
      <w:pPr>
        <w:jc w:val="both"/>
      </w:pPr>
      <w:r>
        <w:rPr>
          <w:b/>
          <w:color w:val="0B0B0B"/>
        </w:rPr>
        <w:t>Чем это отличается от уже сделанного.</w:t>
      </w:r>
      <w:r>
        <w:rPr>
          <w:color w:val="0B0B0B"/>
        </w:rPr>
        <w:t xml:space="preserve"> Завершённая работа отвечала на вопрос «как разметить зоны внутри установленных уровней». Новый вопрос выше: </w:t>
      </w:r>
      <w:r>
        <w:rPr>
          <w:b/>
          <w:color w:val="0B0B0B"/>
        </w:rPr>
        <w:t>верны ли сами уровни и та ли величина измеряется.</w:t>
      </w:r>
    </w:p>
    <w:p>
      <w:pPr>
        <w:jc w:val="both"/>
      </w:pPr>
      <w:r>
        <w:rPr>
          <w:b/>
          <w:color w:val="0B0B0B"/>
        </w:rPr>
        <w:t>Что уже есть как вход.</w:t>
      </w:r>
      <w:r>
        <w:rPr>
          <w:color w:val="0B0B0B"/>
        </w:rPr>
        <w:t xml:space="preserve"> Мастер-шкала расшифрована документально: матрица «рейтинг заёмщика 1–10 × рейтинг сделки I–V», отсечение 33 соответствует счёту приемлемых сочетаний; шкала и три полосы риска заданы Приложением № 5.9 к Методике провизий, то есть общие с расчётом резервов. Это готовое основание для разреза по пункту 1.</w:t>
      </w:r>
    </w:p>
    <w:p>
      <w:pPr>
        <w:jc w:val="both"/>
      </w:pPr>
      <w:r>
        <w:rPr>
          <w:b/>
          <w:color w:val="0B0B0B"/>
        </w:rPr>
        <w:t>Что мешает начать по пункту 1 прямо сейчас.</w:t>
      </w:r>
      <w:r>
        <w:rPr>
          <w:color w:val="0B0B0B"/>
        </w:rPr>
        <w:t xml:space="preserve"> Формула расчёта CoR не записана ни в одном из доступных документов: на всех листах формы 50 показатель стоит вписанными числами, без формулы, в отличие от EL и PD, которые являются внешними ссылками. Разрез по рейтинговым группам требует знать, из чего состоит числитель. Это единственный открытый запрос к владельцу расчёта.</w:t>
      </w:r>
    </w:p>
    <w:p>
      <w:pPr>
        <w:jc w:val="both"/>
      </w:pPr>
      <w:r>
        <w:rPr>
          <w:b/>
          <w:color w:val="0B0B0B"/>
        </w:rPr>
        <w:t>Сроки.</w:t>
      </w:r>
      <w:r>
        <w:rPr>
          <w:color w:val="0B0B0B"/>
        </w:rPr>
        <w:t xml:space="preserve"> Этап 1 — аналитическая записка и шаблон мер реагирования — закрывается к 30.09.2026 вместе с согласованием. Настоящий этап начинается после него; конкретные сроки подлежат обсуждению и в записку не выносятся.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