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План действий по превышению лимита 98-3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Отношение неработающих займов к ссудному портфелю ≥ 10 %: регуляторный дедлайн, состав плана мероприятий, меры и практика взаимодействия с АРРФР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0.2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Структура собрана из трёх слоёв: обязательный минимум п. 99 Нормативов № 85, надзорная практика ЕС по работе с неработающими кредитами (EBA GL/2018/06, ECB NPL Guidance) и практика взаимодействия с регулятором. Позиции, требующие фактических данных банка, помечены «ЗАПОЛНИТЬ».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A8492F" w:sz="18"/>
              <w:bottom w:val="none" w:color="FFFFFF" w:sz="0"/>
              <w:right w:val="none" w:color="FFFFFF" w:sz="0"/>
            </w:tcBorders>
            <w:shd w:fill="FBF3F0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A8492F"/>
                <w:spacing w:val="24"/>
                <w:sz w:val="15"/>
                <w:szCs w:val="15"/>
              </w:rPr>
              <w:t xml:space="preserve">ДЕДЛАЙН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При самостоятельном выявлении превышения план мероприятий представляется в АРРФР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в течение 5 рабочих дней со дня выявления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(п. 102). Представленный план переводит превышение в режим «не нарушение» (п. 99, часть третья); непредставленный оставляет его нарушением. Скорость подачи буквально меняет правовую квалификацию события.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0. Немедленные шаги — дни 0–5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Зафиксировать факт и дату выявления письменно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(служебная записка или протокол): от этой даты идут 5 рабочих дней; кто выявил — банк или АРРФР — меняет основание (п. 102 либо п. 99).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Заморозить расчёт: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НЗ, СП, дата среза, методика (gross, критерии № 61 плюс POCI, периметр с МБК и обратным РЕПО). Одно число во всех документах, расчёт воспроизводим из первичных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Разложить сработку на числитель и знаменатель: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вклад роста НЗ против вклада сжатия СП за 6–12 месяцев. «Портфель испортился» и «портфель сжался» лечатся разными мерами.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Прогнать калькулятор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(calc/limits98.py) на помесячном ряду: сработали ли заодно 98-1 и 98-2 и что даёт проекция п. 105. Если сработали — п. 103 пп. 1 сворачивает всё в один план по 98-3.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Эскалация: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руководство БРМ → Правление / КРВК → СД (п. 12-1 Политики РА). Кандидатуры ответственных руководящих работников согласовать на этом шаге — они нужны в тексте плана.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Представить план в срок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, даже первой версией с консервативными оценками; дорабатывать через процедуру замечаний п. 100.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1. Детальный анализ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Сегментация НЗ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обязательный разрез ФЛ / ЮЛ (п. 99), внутри: продукт, DPD-бакет, винтаж выдачи, признак реструктуризации, обеспеченность, стадия, POCI отдельно. Готовые входы — матрицы Phase C и cure pool контура Stage 3.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Декомпозиция динамики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 уравнению баланса НЗ за каждый месяц: приток (SICR → дефолт, новые 90+) минус отток (cure, списания, продажи, реализация залогов, погашения) плюс-минус эффект знаменателя. Каждому компоненту — свой владелец меры.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срез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параллельно проверить 98-7 и 98-8; если они у порога, план сразу строить на все сработавшие лимиты.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Сверка с внешним эталоном: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 против Кредитного регистра и формы 700Н (межформенные контроли приложения К контура AQR). Расхождение, найденное регулятором после подачи плана, дороже найденного до.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2. Прогноз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Считать двумя способами и показывать оба. Первый — по формуле регулятора (п. 105, линейная экстраполяция полугодовой динамики на 12 месяцев): АРРФР увидит именно эту цифру, её нужно знать раньше регулятора. Второй — собственный прогноз (roll-rates по DPD-бакетам, винтажный анализ) с драйверами притока и оттока и сценарием исполнения мер. Расхождение между ними — не проблема, а содержание раздела «обоснование прогноза»: линейная экстраполяция не учитывает мер, сезонности и разовых событий.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Негативные влияния на деятельность (требование п. 99): давление на провизии и капитал, стоимость фондирования, ограничения роста — по каждому одно-два предложения с числом, без каталога ужасов.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3. Меры — по обе стороны дроби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Каждая мера — с владельцем, сроком и ожидаемым эффектом на НЗ/СП в процентных пунктах; сумма эффектов складывается в мост «текущее значение → менее 10 %» с запасом.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Числитель вниз (отток НЗ)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Механизм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Интенсификация взыскания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приоритизация 90+ по сумме × вероятности возврата, по бакетам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коллекшн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Меню реструктуризаций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кратко- и долгосрочные инструменты; контроль критериев выхода (6/12 месяцев, снижение EAD) и скрытых реструктуризаций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7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Реализация залогов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синхронно с журналами B2E/B2F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приложение К, разд. 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Продажа / цессия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ОУСА, коллекторские организации; влияние на P&amp;L посчитать до, а не после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юристы, ФД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Списание за баланс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политике списаний; списанная задолженность остаётся объектом раскрытия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ДБУиО, налоги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Каталог мер — EBA GL/2018/06, разд. 5; ECB NPL Guidance, гл. 2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Приток перекрыть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Ужесточение отсечения в выдаче: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порог по мастер-шкале (полоса 34–50 — стоп) — готовый инструмент Приложения № 4 к Политике.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Стоп-факторы по сегментам: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худшие винтажи и продукты из анализа фазы 1.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Ранняя работа с 61–90: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ряд 98-2 — встроенный опережающий индикатор; каждая петля «61-90 → 90+» — прямой приток в НЗ.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ЗНАМЕНАТЕЛЬ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Если вклад сжатия ссудного портфеля существенен — показать это в плане явно и закрывать мерами роста здорового портфеля, а не разгоном выдач ради дроби. Регулятор считает ежемесячно (п. 106) и увидит структуру роста.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4. Помесячный контроль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Болванка обязательной таблицы плана (п. 99: мероприятия по каждому отчётному периоду, в разрезе ФЛ и ЮЛ):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2314"/>
        <w:gridCol w:w="1349"/>
        <w:gridCol w:w="1349"/>
        <w:gridCol w:w="1349"/>
        <w:gridCol w:w="1349"/>
        <w:gridCol w:w="1352"/>
      </w:tblGrid>
      <w:tr>
        <w:trPr>
          <w:tblHeader/>
        </w:trP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№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Мероприятие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Разрез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Период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Эффект, п.п.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Срок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Ответственный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ФЛ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ЮЛ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2026-09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</w:t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ЗАПОЛНИТЬ (руководящий работник)</w:t>
            </w:r>
          </w:p>
        </w:tc>
      </w:tr>
      <w:tr>
        <w:tc>
          <w:tcPr>
            <w:tcW w:type="dxa" w:w="5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…</w:t>
            </w:r>
          </w:p>
        </w:tc>
        <w:tc>
          <w:tcPr>
            <w:tcW w:type="dxa" w:w="231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49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  <w:tc>
          <w:tcPr>
            <w:tcW w:type="dxa" w:w="135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/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Структура — п. 99 Нормативов № 85; наполнение — после получения рядов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Эффект каждой строки измерим и проверяем по отчётности.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Сумма эффектов закрывает разрыв до менее 10 % с запасом.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Помесячная контрольная точка — собственный расчёт НЗ/СП до регуляторного цикла п. 106.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Отклонение факта от плана на контрольной точке — триггер пересмотра плана, а не молчания.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5. Практика взаимодействия с регулятором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Опережающее раскрытие.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Самостоятельное выявление плюс план в 5 дней — сильнейшая переговорная позиция: формально «не нарушение», репутационно — «банк управляет проблемой». Ждать письма АРРФР — отдать инициативу.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Одна точка входа.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Один владелец коммуникации; все письма, замечания и обсуждения — через него, с протоколированием. Согласование от имени подразделения, а не через индивидуальные договорённости исполнителя.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Одно число во всех документах.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НЗ/СП в плане, форме 50, ответах на замечания и отчёте по ВПОДК (Таблица 2, графы 9–10) сходится до знака: расхождение между собственными документами — главный генератор надзорных вопросов.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Пакет приложений к плану: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методика расчёта НЗ, помесячный ряд, декомпозиция числитель/знаменатель, расчёт проекции п. 105, мост мер до менее 10 %. Любое число пересчитывается из приложенных данных.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Процедура замечаний — рабочий инструмент.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П. 100 прямо предусматривает совместные обсуждения и письменные обоснования несогласия; спорить с замечанием можно и нужно письменно, с расчётом.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Хронология в деле.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Реестр: дата выявления, дата подачи, входящие и исходящие, сроки пп. 99–101. Пропуск регуляторного срока обнуляет любую аналитику.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Аргумент лестницы.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Раздел 6 Закона № 258-VIII выстраивает каскад: признаки ухудшения (ст. 85) → усиленный надзор (ст. 87) → восстановление (ст. 89) → урегулирование (ст. 92). Сработка лимита без плана — вход в признак ст. 85 п. 2 пп. 1; представленный план по п. 99 главы 11 удерживает банк на нулевой ступени. Выход из усиленного надзора — полгода безупречного соблюдения нормативов (ст. 87 п. 6), поэтому план в 5 дней несопоставимо дешевле.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Фаза 6. Внутренний контур — чтобы не повторилось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Ввести НЗ/СП в заявление РА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при пересмотре уровней: трёхзонная лестница ниже регуляторных 10 % (ориентир: зелёная &lt; 8 %, жёлтая 8–9,5 %, красная ≥ 9,5 %; калибровка по волатильности метрики — той же методикой, что сигнальный уровень топ-20). Сработка регуляторного лимита без внутреннего зеркала — сама по себе аргумент существенности по п. 16 пп. 3 Правил № 86.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СРП по 98-1/98-2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34 пп. 5, 6 Правил № 86): ежемесячный автоматический пересчёт двух рядов и проекции п. 105; жёлтый сигнал — прогнозируется «негативное влияние», красный — сработал триггер монотонности или 5 %.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Ежемесячный внутренний расчёт всех пяти лимитов БРМ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(98-1/2/3/7/8) калькулятором контура — до выхода регуляторной отчётности, чтобы п. 106 никогда не опережал банк.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Условие корректировки уровней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(п. 17 пп. 4 Правил № 86): внести в ВНД правило «изменение регуляторного лимита влечёт пересмотр внутреннего» — та же дыра, что зафиксирована по LCR/NSFR (Г14).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Ориентиры лучшей практики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методологии, не для комплаенса; реквизиты перед цитированием проверить.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EBA GL/2018/06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Guidelines on management of non-performing and forborne exposures: порог внимания NPL ratio 5 %, стратегия NPE, операционный план, выделенные подразделения, политика forbearance.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ECB Guidance to banks on non-performing loans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 и Addendum (2018): сегментация, количественные цели по портфелям и горизонтам, самооценка возможностей, календарное провизирование.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BCBS, Prudential treatment of problem assets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(2017): согласование определений NPE / Stage 3 / 90+.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FSB, Principles for an Effective Risk Appetite Framework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(2013): регуляторные лимиты как жёсткие границы риск-ёмкости внутри RAF.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Открытые вопросы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Дата и субъект выявления превышения (определяет дедлайн).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Фактические ряды для калькулятора: ЗП90, ЗП61-90, НЗ, СП за 7+ месяцев; потребительский срез для 98-7/98-8.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Статус системной значимости Банка (п. 108; связан с Г12).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Владельцы мер вне БРМ (коллекшн, ФД, ДБУиО, юристы) — согласовать до включения в перечень ответственных.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Порядок утверждения плана внутри банка (Правление / СД) до подачи в АРРФР — проверить по Уставу и Политике РА.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2026-08-19T09:27:52.253Z</dcterms:created>
  <dcterms:modified xsi:type="dcterms:W3CDTF">2026-08-19T09:27:52.254Z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