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rFonts w:ascii="Times New Roman" w:cs="Times New Roman" w:eastAsia="Times New Roman" w:hAnsi="Times New Roman"/>
          <w:b/>
          <w:bCs/>
          <w:color w:val="16202B"/>
          <w:sz w:val="40"/>
          <w:szCs w:val="40"/>
        </w:rPr>
        <w:t xml:space="preserve">Глава 11 Нормативов № 85: лимиты в целях минимизации рисков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5B6B7A"/>
          <w:sz w:val="25"/>
          <w:szCs w:val="25"/>
        </w:rPr>
        <w:t xml:space="preserve">Полный разбор пп. 98–108 применительно к периметру БРМ</w:t>
      </w:r>
    </w:p>
    <w:p>
      <w:pPr>
        <w:spacing w:after="200"/>
      </w:pPr>
      <w:r>
        <w:rPr>
          <w:rFonts w:ascii="Times New Roman" w:cs="Times New Roman" w:eastAsia="Times New Roman" w:hAnsi="Times New Roman"/>
          <w:color w:val="5B6B7A"/>
          <w:sz w:val="18"/>
          <w:szCs w:val="18"/>
        </w:rPr>
        <w:t xml:space="preserve">БРМ, АО «Евразийский банк» · рабочий контур docs/analysis/npl_limits · версия 0.2 от 19.08.2026</w:t>
      </w:r>
    </w:p>
    <w:p>
      <w:pPr>
        <w:spacing w:after="180" w:line="300"/>
        <w:jc w:val="both"/>
      </w:pPr>
      <w:r>
        <w:rPr>
          <w:rFonts w:ascii="Times New Roman" w:cs="Times New Roman" w:eastAsia="Times New Roman" w:hAnsi="Times New Roman"/>
          <w:i/>
          <w:iCs/>
          <w:color w:val="3C4A56"/>
          <w:sz w:val="22"/>
          <w:szCs w:val="22"/>
        </w:rPr>
        <w:t xml:space="preserve">Постановление Правления АРРФР от 28.04.2026 № 85 устанавливает главой 11 восемь лимитов в целях минимизации рисков банков (п. 3 ст. 72 Закона о банках). Пять из восьми — кредитные и относятся к периметру БРМ. Формулы в исходном документе вставлены изображениями; здесь они перепечатаны и перед официальным цитированием подлежат сверке с зарегистрированной редакцией.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1. Восемь лимитов п. 98 и распределение ответственности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8"/>
        <w:gridCol w:w="3662"/>
        <w:gridCol w:w="1350"/>
        <w:gridCol w:w="1350"/>
      </w:tblGrid>
      <w:tr>
        <w:trPr>
          <w:tblHeader/>
        </w:trP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пп.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Лимит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Периметр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Владелец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1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увеличение займов с просрочкой по основному долгу и (или) вознаграждению свыше 90 дней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весь портфель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БРМ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2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увеличение займов с просрочкой 61–90 дней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весь портфель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БРМ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3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превышение отношения неработающих займов к ссудному портфелю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весь портфель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БРМ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4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увеличение доли неработающей дебиторской задолженности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дебиторка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вне БРМ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5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снижение коэффициента рентабельности активов (ROA)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банк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вне БРМ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6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превышение отношения среднемесячных операций РЕПО к обязательствам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казначейство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вне БРМ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7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доля потребзаймов 90+ в общей сумме потребзаймов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потребкредиты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БРМ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8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доля заёмщиков с потреб-90+ в общем числе потребзаёмщиков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потребкредиты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БРМ</w:t>
            </w:r>
          </w:p>
        </w:tc>
      </w:tr>
    </w:tbl>
    <w:p>
      <w:pPr>
        <w:spacing w:after="220" w:before="80"/>
      </w:pPr>
      <w:r>
        <w:rPr>
          <w:rFonts w:ascii="Times New Roman" w:cs="Times New Roman" w:eastAsia="Times New Roman" w:hAnsi="Times New Roman"/>
          <w:i/>
          <w:iCs/>
          <w:color w:val="5B6B7A"/>
          <w:sz w:val="16"/>
          <w:szCs w:val="16"/>
        </w:rPr>
        <w:t xml:space="preserve">Нормативы № 85 от 28.04.2026 (рег. № 38587), глава 11, п. 98, часть первая</w:t>
      </w:r>
    </w:p>
    <w:p>
      <w:pPr>
        <w:pStyle w:val="Heading2"/>
        <w:spacing w:after="110" w:before="280"/>
      </w:pPr>
      <w:r>
        <w:rPr>
          <w:rFonts w:ascii="Times New Roman" w:cs="Times New Roman" w:eastAsia="Times New Roman" w:hAnsi="Times New Roman"/>
          <w:b/>
          <w:bCs/>
          <w:color w:val="16202B"/>
          <w:sz w:val="23"/>
          <w:szCs w:val="23"/>
        </w:rPr>
        <w:t xml:space="preserve">Определения (п. 98, часть вторая)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Займы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— выданные банкам и организациям, осуществляющим отдельные виды банковских операций, физическим лицам (включая ИП), юридическим лицам (включая МСБ), </w:t>
      </w: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плюс операции «обратное РЕПО»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Расчёт </w:t>
      </w: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gross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: без счетов дисконтов и премий, корректировок и провизий, сформированных по МСФО.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Неработающие займы (НЗ)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— займы с признаками обесценения по критериям МСФО и Правил № 61 (от 29.09.2025, рег. № 36994) </w:t>
      </w: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плюс POCI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. По существу — Stage 3 + POCI, gross.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Потребительский заём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(для лимитов 7 и 8) — не ипотечный, физическому лицу, на цели вне предпринимательской деятельности, балансовые и внебалансовые счета.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2. Триггеры (п. 107) и целевые уровни (п. 104)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4434"/>
        <w:gridCol w:w="3085"/>
      </w:tblGrid>
      <w:tr>
        <w:trPr>
          <w:tblHeader/>
        </w:trP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Лимит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Триггер по п. 107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Целевой уровень по п. 104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98-1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строгий рост семи последовательных месячных точек (ЗП90₆ &gt; ЗП90₅ &gt; … &gt; ЗП90₀) или прирост ≥ 5 % за период без монотонности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НЗ/СП ≤ 10 % (пп. 1)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98-2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те же две конструкции по ряду ЗП61-90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НЗ/СП ≤ 10 % (пп. 1)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98-3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НЗ/СП ≥ 10 % на конец периода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снижение до уровня менее 10 % (пп. 2)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98-4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рост доли шесть месяцев подряд или ≥ 5 п.п. за период; не применяется при росте из-за снижения совокупной дебиторки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≤ 50 % (пп. 3)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98-5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ROA ниже 0,2 % два и более раза за 6 месяцев; применяется только при k1 ≤ 0,10 или k2 ≤ 0,13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ROA ≥ 0,2 % (пп. 4)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98-6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отношение среднемесячных РЕПО к среднемесячным обязательствам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&lt; 35 % с 01.01.2026; &lt; 25 % с 01.07.2026 (пп. 5)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98-7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Ккпз = НПЛпз / Спз × 100 % ≥ 10 %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&lt; 10 % суммы потребзаймов (пп. 6)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98-8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Ккзнбпз = КЗнпз / КЗобщ × 100 % ≥ 10 %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&lt; 10 % числа потребзаёмщиков (пп. 7; о дефекте формулировки — раздел 6)</w:t>
            </w:r>
          </w:p>
        </w:tc>
      </w:tr>
    </w:tbl>
    <w:p>
      <w:pPr>
        <w:spacing w:after="220" w:before="80"/>
      </w:pPr>
      <w:r>
        <w:rPr>
          <w:rFonts w:ascii="Times New Roman" w:cs="Times New Roman" w:eastAsia="Times New Roman" w:hAnsi="Times New Roman"/>
          <w:i/>
          <w:iCs/>
          <w:color w:val="5B6B7A"/>
          <w:sz w:val="16"/>
          <w:szCs w:val="16"/>
        </w:rPr>
        <w:t xml:space="preserve">Нормативы № 85 от 28.04.2026 (рег. № 38587), глава 11, пп. 104, 107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tcBorders>
              <w:top w:val="none" w:color="FFFFFF" w:sz="0"/>
              <w:left w:val="single" w:color="1C5B57" w:sz="18"/>
              <w:bottom w:val="none" w:color="FFFFFF" w:sz="0"/>
              <w:right w:val="none" w:color="FFFFFF" w:sz="0"/>
            </w:tcBorders>
            <w:shd w:fill="F2F7F6" w:color="auto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C5B57"/>
                <w:spacing w:val="24"/>
                <w:sz w:val="15"/>
                <w:szCs w:val="15"/>
              </w:rPr>
              <w:t xml:space="preserve">К СВЕДЕНИЮ</w:t>
            </w:r>
          </w:p>
          <w:p>
            <w:r>
              <w:rPr>
                <w:rFonts w:ascii="Times New Roman" w:cs="Times New Roman" w:eastAsia="Times New Roman" w:hAnsi="Times New Roman"/>
                <w:color w:val="16202B"/>
                <w:sz w:val="19"/>
                <w:szCs w:val="19"/>
              </w:rPr>
              <w:t xml:space="preserve">Лимит 98-5 (ROA) применяется только к банку с k1 ≤ 10 % или k2 ≤ 13 % (п. 107 пп. 6, часть последняя). При k1 = 19,9 % и k2 = 22,9 % (форма 50 на 01.07.2026) ворота не пройдены — лимит ROA к Банку сейчас неприменим.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3. Негативное влияние на качество портфеля (п. 105)</w:t>
      </w: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Смысл: если динамика последних шести месяцев по лимитам 98-1/98-2 продолжится двенадцать месяцев, пробьёт ли НЗ/СП уровень 10 %. Механика — линейная экстраполяция удвоением полугодового прироста. Индексация: точка 0 — начало окна (шесть месяцев назад), точка 6 — конец отчётного месяца.</w:t>
      </w: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Для 98-1 (рост 90+); экстраполируется только компонента 90+, а «не-90+» часть НЗ держится константой: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F5F7F9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16202B"/>
                <w:sz w:val="17"/>
                <w:szCs w:val="17"/>
              </w:rPr>
              <w:t xml:space="preserve">ЗП90₁₂ = (ЗП90₆ − ЗП90₀) × 2 + ЗП90₆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16202B"/>
                <w:sz w:val="17"/>
                <w:szCs w:val="17"/>
              </w:rPr>
              <w:t xml:space="preserve">СП₁₂  = (СП₆ − СП₀) × 2 + СП₆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16202B"/>
                <w:sz w:val="17"/>
                <w:szCs w:val="17"/>
              </w:rPr>
              <w:t xml:space="preserve">негативное влияние:  [ЗП90₁₂ + (НЗ₆ − ЗП90₆)] / СП₁₂  ≥  10 %</w:t>
            </w:r>
          </w:p>
        </w:tc>
      </w:tr>
    </w:tbl>
    <w:p>
      <w:pPr>
        <w:spacing w:after="160"/>
      </w:pP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Для 98-2 (миграция 61–90 в 90+):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F5F7F9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16202B"/>
                <w:sz w:val="17"/>
                <w:szCs w:val="17"/>
              </w:rPr>
              <w:t xml:space="preserve">ЗП61-90₁₂ = (ЗП61-90₆ − ЗП61-90₀) × 2 + ЗП61-90₆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16202B"/>
                <w:sz w:val="17"/>
                <w:szCs w:val="17"/>
              </w:rPr>
              <w:t xml:space="preserve">СП₁₂     = (СП₆ − СП₀) × 2 + СП₆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16202B"/>
                <w:sz w:val="17"/>
                <w:szCs w:val="17"/>
              </w:rPr>
              <w:t xml:space="preserve">негативное влияние:  (ЗП90₆ + ЗП61-90₁₂) / СП₁₂  ≥  10 %</w:t>
            </w:r>
          </w:p>
        </w:tc>
      </w:tr>
    </w:tbl>
    <w:p>
      <w:pPr>
        <w:spacing w:after="160"/>
      </w:pP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tcBorders>
              <w:top w:val="none" w:color="FFFFFF" w:sz="0"/>
              <w:left w:val="single" w:color="1C5B57" w:sz="18"/>
              <w:bottom w:val="none" w:color="FFFFFF" w:sz="0"/>
              <w:right w:val="none" w:color="FFFFFF" w:sz="0"/>
            </w:tcBorders>
            <w:shd w:fill="F2F7F6" w:color="auto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C5B57"/>
                <w:spacing w:val="24"/>
                <w:sz w:val="15"/>
                <w:szCs w:val="15"/>
              </w:rPr>
              <w:t xml:space="preserve">СЛЕДСТВИЕ ДЛЯ БРМ</w:t>
            </w:r>
          </w:p>
          <w:p>
            <w:r>
              <w:rPr>
                <w:rFonts w:ascii="Times New Roman" w:cs="Times New Roman" w:eastAsia="Times New Roman" w:hAnsi="Times New Roman"/>
                <w:color w:val="16202B"/>
                <w:sz w:val="19"/>
                <w:szCs w:val="19"/>
              </w:rPr>
              <w:t xml:space="preserve">Лимиты 98-1 и 98-2 — опережающие индикаторы 98-3, встроенные самим регулятором. Ежемесячный мониторинг этих двух рядов — готовая система раннего предупреждения по НЗ/СП; разработка СРП и триггеров — прямая обязанность подразделения по управлению рисками (п. 34 пп. 5, 6 Правил № 86).</w:t>
            </w:r>
          </w:p>
        </w:tc>
      </w:tr>
    </w:tbl>
    <w:p>
      <w:pPr>
        <w:spacing w:after="180"/>
      </w:pPr>
    </w:p>
    <w:p>
      <w:r>
        <w:br w:type="page"/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4. Процедура при превышении (пп. 99–103)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4434"/>
        <w:gridCol w:w="3085"/>
      </w:tblGrid>
      <w:tr>
        <w:trPr>
          <w:tblHeader/>
        </w:trP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Шаг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Норма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Содержание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Выявление регулятором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п. 99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АРРФР выявляет превышение уровней п. 104 — банк и (или) акционеры, банковский холдинг, крупные участники разрабатывают и представляют план мероприятий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Самостоятельное выявление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п. 102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план представляется в течение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5 рабочих дней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 со дня выявления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Защита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п. 99, часть третья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при представленном плане превышение не рассматривается как нарушение лимита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Согласование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п. 99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АРРФР согласует план в течение 10 рабочих дней со дня представления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Замечания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п. 100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при несогласии — письменные замечания и (или) совместные обсуждения; банк корректирует план в указанные сроки либо представляет письменные обоснования несогласия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Одобрение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п. 101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письменное одобрение или неодобрение в срок до 30 рабочих дней с даты представления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Освобождение от плана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п. 103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по 98-1/98-2 — при отсутствии негативного влияния по п. 105 и отсутствии сработки 98-3, либо при сработке 98-3 (всё сворачивается в один план); по 98-1 и 98-5 — если превышение выявлено ежегодным стресс-тестированием по сценариям АРРФР</w:t>
            </w:r>
          </w:p>
        </w:tc>
      </w:tr>
    </w:tbl>
    <w:p>
      <w:pPr>
        <w:spacing w:after="220" w:before="80"/>
      </w:pPr>
      <w:r>
        <w:rPr>
          <w:rFonts w:ascii="Times New Roman" w:cs="Times New Roman" w:eastAsia="Times New Roman" w:hAnsi="Times New Roman"/>
          <w:i/>
          <w:iCs/>
          <w:color w:val="5B6B7A"/>
          <w:sz w:val="16"/>
          <w:szCs w:val="16"/>
        </w:rPr>
        <w:t xml:space="preserve">Нормативы № 85 от 28.04.2026 (рег. № 38587), глава 11, пп. 99–103</w:t>
      </w:r>
    </w:p>
    <w:p>
      <w:pPr>
        <w:pStyle w:val="Heading2"/>
        <w:spacing w:after="110" w:before="280"/>
      </w:pPr>
      <w:r>
        <w:rPr>
          <w:rFonts w:ascii="Times New Roman" w:cs="Times New Roman" w:eastAsia="Times New Roman" w:hAnsi="Times New Roman"/>
          <w:b/>
          <w:bCs/>
          <w:color w:val="16202B"/>
          <w:sz w:val="23"/>
          <w:szCs w:val="23"/>
        </w:rPr>
        <w:t xml:space="preserve">Обязательный состав плана (п. 99, часть вторая, «не ограничиваясь»)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детальный анализ Лимита;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прогноз Лимита, обоснование прогноза и негативные влияния на деятельность банка;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меры по улучшению — доведение до уровня, не представляющего угрозу и не создающего дополнительных рисков;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для 98-3 — мероприятия по каждому отчётному периоду, в том числе в разрезе физических и юридических лиц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(обязательный разрез);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сроки исполнения по каждому пункту плана;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перечень руководящих работников, ответственных за исполнение по каждому пункту плана.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5. Мониторинг и стресс-тестирование (пп. 106, 108)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П. 106: АРРФР </w:t>
      </w: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ежемесячно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анализирует деятельность банка по отчётности для определения лимитов. Внутренний расчёт должен опережать регуляторный цикл, а не догонять его.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П. 108: для банков из списков системно значимых и потенциально системно значимых (Постановление НБ РК № 240) факторы 98-1 и 98-5 дополняются сценариями АРРФР: сценарии — до 1 февраля, стресс-тест и представление результатов — до 1 апреля. Статус Банка — открытый вопрос (Г12 контура risk_appetite).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6. Дефекты текста главы (Н1–Н4)</w:t>
      </w: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Наблюдения по тексту предоставленной редакции; перед официальной перепиской сверить с зарегистрированной редакцией. Практическое следствие: в плане мероприятий ссылаться на пункты по смыслу, не воспроизводя битые перекрёстные ссылки дословно.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4434"/>
        <w:gridCol w:w="3085"/>
      </w:tblGrid>
      <w:tr>
        <w:trPr>
          <w:tblHeader/>
        </w:trP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Код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Место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Наблюдение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Н1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п. 103 пп. 1; п. 104 пп. 1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ссылка на «подпункты 1) и 2) части первой пункта 99» — у п. 99 подпунктов нет; по смыслу — п. 98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Н2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п. 102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ссылка на «план мероприятий, предусмотренный частью второй пункта 98» — состав плана установлен частью второй п. 99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Н3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п. 104 пп. 7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метрика по количеству заёмщиков доводится «до уровня менее 10 % от общей суммы потребительских займов» — знаменатель перенесён из пп. 6 копированием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Н4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п. 107 пп. 1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текст: рост «на 5 и более процентных пунктов»; формула — относительный прирост ≥ 5 %; в пп. 2 та же конструкция названа «процентов»</w:t>
            </w:r>
          </w:p>
        </w:tc>
      </w:tr>
    </w:tbl>
    <w:p>
      <w:pPr>
        <w:spacing w:after="220" w:before="80"/>
      </w:pPr>
      <w:r>
        <w:rPr>
          <w:rFonts w:ascii="Times New Roman" w:cs="Times New Roman" w:eastAsia="Times New Roman" w:hAnsi="Times New Roman"/>
          <w:i/>
          <w:iCs/>
          <w:color w:val="5B6B7A"/>
          <w:sz w:val="16"/>
          <w:szCs w:val="16"/>
        </w:rPr>
        <w:t xml:space="preserve">Нормативы № 85 от 28.04.2026 (рег. № 38587), глава 11 · сверка текста и формул выполнена 18.08.2026</w:t>
      </w:r>
    </w:p>
    <w:p>
      <w:r>
        <w:br w:type="page"/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7. Лестница эскалации: глава 11 → раздел 6 Закона № 258-VIII</w:t>
      </w: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Новый Закон о банках (№ 258-VIII от 16.01.2026, в силе с 19.03.2026) устанавливает разделом 6 три антикризисных режима. Сверено с полным текстом закона (редакция на 25.08.2026). Ниже — как лимит 98-3 встроен в эту лестницу.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8"/>
        <w:gridCol w:w="3662"/>
        <w:gridCol w:w="1350"/>
        <w:gridCol w:w="1350"/>
      </w:tblGrid>
      <w:tr>
        <w:trPr>
          <w:tblHeader/>
        </w:trP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Ступень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Норма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Основание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Что происходит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0. Штатный надзор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глава 11 Нормативов № 85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НЗ/СП ≥ 10 % при представленном плане мероприятий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превышение «не рассматривается как нарушение» (п. 99)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1. Признаки ухудшения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ст. 85 Закона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шесть категорий признаков; значения — НПА АРРФР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регулятор выбирает режим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2. Усиленный надзор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ст. 87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по решению АРРФР, цель — предотвратить ухудшение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девять полномочий сверх мер ст. 78; решение конфиденциально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3. Восстановление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ст. 88–89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существенное ухудшение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план восстановления ≤ 12 месяцев, без госсредств; плюс требования к структуре активов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4. Урегулирование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ст. 90–95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неплатежеспособность или её угроза (оценка жизнеспособности, ст. 91)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временная администрация, инструменты урегулирования, принудительная продажа</w:t>
            </w:r>
          </w:p>
        </w:tc>
      </w:tr>
    </w:tbl>
    <w:p>
      <w:pPr>
        <w:spacing w:after="220" w:before="80"/>
      </w:pPr>
      <w:r>
        <w:rPr>
          <w:rFonts w:ascii="Times New Roman" w:cs="Times New Roman" w:eastAsia="Times New Roman" w:hAnsi="Times New Roman"/>
          <w:i/>
          <w:iCs/>
          <w:color w:val="5B6B7A"/>
          <w:sz w:val="16"/>
          <w:szCs w:val="16"/>
        </w:rPr>
        <w:t xml:space="preserve">Закон РК № 258-VIII от 16.01.2026, раздел 6 · сверка 19.08.2026</w:t>
      </w:r>
    </w:p>
    <w:p>
      <w:pPr>
        <w:pStyle w:val="Heading2"/>
        <w:spacing w:after="110" w:before="280"/>
      </w:pPr>
      <w:r>
        <w:rPr>
          <w:rFonts w:ascii="Times New Roman" w:cs="Times New Roman" w:eastAsia="Times New Roman" w:hAnsi="Times New Roman"/>
          <w:b/>
          <w:bCs/>
          <w:color w:val="16202B"/>
          <w:sz w:val="23"/>
          <w:szCs w:val="23"/>
        </w:rPr>
        <w:t xml:space="preserve">Признаки ухудшения (ст. 85 п. 2)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снижение значений пруденциальных нормативов </w:t>
      </w: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и лимитов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(капитал, ликвидность, макропруденциальные лимиты НБ РК);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неисполнение денежных обязательств перед депозиторами и кредиторами из-за отсутствия или недостаточности денег;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факты (сделки), достоверное отражение которых в отчётности может привести к нарушению коэффициентов капитала или неисполнению обязательств;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недостатки и (или) риски, выявленные надзором;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неисполнение плана восстановления финансовой устойчивости;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иные признаки по НПА уполномоченного органа. Значения признаков — тоже НПА АРРФР; публиковавшиеся по проекту ориентиры (отток депозитов &gt; 15 % за неделю, нарушения ОВП ≥ 3 раз за 6 месяцев, проблемные кредиты &gt; 15 % при недостаточном резервировании) до принятия акта считать ориентирами, не нормой.</w:t>
      </w:r>
    </w:p>
    <w:p>
      <w:pPr>
        <w:pStyle w:val="Heading2"/>
        <w:spacing w:after="110" w:before="280"/>
      </w:pPr>
      <w:r>
        <w:rPr>
          <w:rFonts w:ascii="Times New Roman" w:cs="Times New Roman" w:eastAsia="Times New Roman" w:hAnsi="Times New Roman"/>
          <w:b/>
          <w:bCs/>
          <w:color w:val="16202B"/>
          <w:sz w:val="23"/>
          <w:szCs w:val="23"/>
        </w:rPr>
        <w:t xml:space="preserve">Полномочия АРРФР в режиме усиленного надзора (ст. 87 п. 2)</w:t>
      </w: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Сверх обычных мер надзорного реагирования (ст. 78), в форме письменного предписания: отчётность с индивидуальной периодичностью, в том числе через витрину данных (пп. 1 приостановлен до 01.01.2027); оценка финансового и имущественного состояния с посещением банка и внешними оценщиками за счёт банка; анализ устойчивости к неблагоприятным макроусловиям; требование актуализации плана восстановления; требование мер от банка, крупных участников и холдинга вплоть до докапитализации; приостановление отдельных операций и сделок внутри конгломерата; улучшение корпоративного управления и СУР.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tcBorders>
              <w:top w:val="none" w:color="FFFFFF" w:sz="0"/>
              <w:left w:val="single" w:color="1C5B57" w:sz="18"/>
              <w:bottom w:val="none" w:color="FFFFFF" w:sz="0"/>
              <w:right w:val="none" w:color="FFFFFF" w:sz="0"/>
            </w:tcBorders>
            <w:shd w:fill="F2F7F6" w:color="auto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C5B57"/>
                <w:spacing w:val="24"/>
                <w:sz w:val="15"/>
                <w:szCs w:val="15"/>
              </w:rPr>
              <w:t xml:space="preserve">СЛЕДСТВИЯ ДЛЯ КЕЙСА 98-3</w:t>
            </w:r>
          </w:p>
          <w:p>
            <w:r>
              <w:rPr>
                <w:rFonts w:ascii="Times New Roman" w:cs="Times New Roman" w:eastAsia="Times New Roman" w:hAnsi="Times New Roman"/>
                <w:color w:val="16202B"/>
                <w:sz w:val="19"/>
                <w:szCs w:val="19"/>
              </w:rPr>
              <w:t xml:space="preserve">Сработка 98-3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6202B"/>
                <w:sz w:val="19"/>
                <w:szCs w:val="19"/>
              </w:rPr>
              <w:t xml:space="preserve">без</w:t>
            </w:r>
            <w:r>
              <w:rPr>
                <w:rFonts w:ascii="Times New Roman" w:cs="Times New Roman" w:eastAsia="Times New Roman" w:hAnsi="Times New Roman"/>
                <w:color w:val="16202B"/>
                <w:sz w:val="19"/>
                <w:szCs w:val="19"/>
              </w:rPr>
              <w:t xml:space="preserve"> представленного плана — прямой вход в признак ст. 85 п. 2 пп. 1 «снижение значений пруденциальных нормативов и лимитов»; щит п. 99 главы 11 удерживает банк на ступени 0, и пятидневный срок п. 102 — цена этого щита. Выход из усиленного надзора — только после устранения оснований и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6202B"/>
                <w:sz w:val="19"/>
                <w:szCs w:val="19"/>
              </w:rPr>
              <w:t xml:space="preserve">шести последовательных месяцев</w:t>
            </w:r>
            <w:r>
              <w:rPr>
                <w:rFonts w:ascii="Times New Roman" w:cs="Times New Roman" w:eastAsia="Times New Roman" w:hAnsi="Times New Roman"/>
                <w:color w:val="16202B"/>
                <w:sz w:val="19"/>
                <w:szCs w:val="19"/>
              </w:rPr>
              <w:t xml:space="preserve"> соблюдения всех нормативов и лимитов (ст. 87 п. 6). Решение о режиме конфиденциально (ст. 87 п. 4). Отдельно: план восстановления финансовой устойчивости (ст. 88) обязателен постоянно, актуализируется ежегодно, без госсредств, срок реализации до 12 месяцев — проверить его актуальность у владельца в банке; его неисполнение — самостоятельный признак ухудшения (ст. 85 п. 2 пп. 5).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8. Стыки с внутренней нормативной базой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77"/>
        <w:gridCol w:w="3663"/>
      </w:tblGrid>
      <w:tr>
        <w:trPr>
          <w:tblHeader/>
        </w:trPr>
        <w:tc>
          <w:tcPr>
            <w:tcW w:type="dxa" w:w="5977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Внутренний контур</w:t>
            </w:r>
          </w:p>
        </w:tc>
        <w:tc>
          <w:tcPr>
            <w:tcW w:type="dxa" w:w="3663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Стык</w:t>
            </w:r>
          </w:p>
        </w:tc>
      </w:tr>
      <w:tr>
        <w:tc>
          <w:tcPr>
            <w:tcW w:type="dxa" w:w="5977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Заявление РА (Приложение № 3 к Политике)</w:t>
            </w:r>
          </w:p>
        </w:tc>
        <w:tc>
          <w:tcPr>
            <w:tcW w:type="dxa" w:w="3663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зеркала НЗ/СП среди 14 кредитных метрик нет — кандидат № 1 на включение при пересмотре уровней</w:t>
            </w:r>
          </w:p>
        </w:tc>
      </w:tr>
      <w:tr>
        <w:tc>
          <w:tcPr>
            <w:tcW w:type="dxa" w:w="5977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Правила № 86, п. 34 пп. 5, 6</w:t>
            </w:r>
          </w:p>
        </w:tc>
        <w:tc>
          <w:tcPr>
            <w:tcW w:type="dxa" w:w="3663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БРМ разрабатывает системы раннего предупреждения и триггеры — ряды 98-1/98-2 дают готовую конструкцию СРП</w:t>
            </w:r>
          </w:p>
        </w:tc>
      </w:tr>
      <w:tr>
        <w:tc>
          <w:tcPr>
            <w:tcW w:type="dxa" w:w="5977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Правила № 86, отчёт по ВПОДК, Таблица 2</w:t>
            </w:r>
          </w:p>
        </w:tc>
        <w:tc>
          <w:tcPr>
            <w:tcW w:type="dxa" w:w="3663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графы 9–10 (случаи достижения уровня и длительность) — сработка 98-3 подлежит отражению</w:t>
            </w:r>
          </w:p>
        </w:tc>
      </w:tr>
      <w:tr>
        <w:tc>
          <w:tcPr>
            <w:tcW w:type="dxa" w:w="5977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Правила № 61</w:t>
            </w:r>
          </w:p>
        </w:tc>
        <w:tc>
          <w:tcPr>
            <w:tcW w:type="dxa" w:w="3663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критерии обесценения задают периметр НЗ; стык с контуром Stage 3</w:t>
            </w:r>
          </w:p>
        </w:tc>
      </w:tr>
      <w:tr>
        <w:tc>
          <w:tcPr>
            <w:tcW w:type="dxa" w:w="5977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Форма 50</w:t>
            </w:r>
          </w:p>
        </w:tc>
        <w:tc>
          <w:tcPr>
            <w:tcW w:type="dxa" w:w="3663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НЗ/СП в отчёте об уровнях РА отсутствует; появится в сводном листе после включения в заявление РА</w:t>
            </w:r>
          </w:p>
        </w:tc>
      </w:tr>
    </w:tbl>
    <w:p>
      <w:pPr>
        <w:spacing w:after="220" w:before="80"/>
      </w:pPr>
      <w:r>
        <w:rPr>
          <w:rFonts w:ascii="Times New Roman" w:cs="Times New Roman" w:eastAsia="Times New Roman" w:hAnsi="Times New Roman"/>
          <w:i/>
          <w:iCs/>
          <w:color w:val="5B6B7A"/>
          <w:sz w:val="16"/>
          <w:szCs w:val="16"/>
        </w:rPr>
        <w:t xml:space="preserve">Сопоставление с ВНД Банка — по картам контуров risk_appetite и npl_limits</w:t>
      </w:r>
    </w:p>
    <w:sectPr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2026-08-19T09:27:52.015Z</dcterms:created>
  <dcterms:modified xsi:type="dcterms:W3CDTF">2026-08-19T09:27:52.016Z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