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Times New Roman" w:cs="Times New Roman" w:eastAsia="Times New Roman" w:hAnsi="Times New Roman"/>
          <w:b/>
          <w:bCs/>
          <w:color w:val="16202B"/>
          <w:sz w:val="40"/>
          <w:szCs w:val="40"/>
        </w:rPr>
        <w:t xml:space="preserve">Превышение лимита 98-3: правовая рамка, сроки, сценарии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5B6B7A"/>
          <w:sz w:val="25"/>
          <w:szCs w:val="25"/>
        </w:rPr>
        <w:t xml:space="preserve">Короткая записка: что говорят Нормативы № 85 и Закон о банках о длительности превышения и что следует из текущего статуса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5B6B7A"/>
          <w:sz w:val="18"/>
          <w:szCs w:val="18"/>
        </w:rPr>
        <w:t xml:space="preserve">БРМ, АО «Евразийский банк» · рабочий контур docs/analysis/npl_limits · версия 0.1 от 19.08.2026</w:t>
      </w:r>
    </w:p>
    <w:p>
      <w:pPr>
        <w:spacing w:after="180" w:line="300"/>
        <w:jc w:val="both"/>
      </w:pPr>
      <w:r>
        <w:rPr>
          <w:rFonts w:ascii="Times New Roman" w:cs="Times New Roman" w:eastAsia="Times New Roman" w:hAnsi="Times New Roman"/>
          <w:i/>
          <w:iCs/>
          <w:color w:val="3C4A56"/>
          <w:sz w:val="22"/>
          <w:szCs w:val="22"/>
        </w:rPr>
        <w:t xml:space="preserve">Записка отвечает на три вопроса: ограничен ли нормативно срок нахождения выше лимита; что происходит при соблюдении и при срыве заявленного в плане срока; какие ступени эскалации предусмотрены законом. Все утверждения опираются на точные пункты, цитаты приведены дословно по текстам документов.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1. Статус-кво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Лимит 98-3 — отношение неработающих займов к ссудному портфелю (НЗ/СП) — превышен и держится выше 10 % около трёх месяцев.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План мероприятий составлен; по плану возврат под лимит — примерно через три месяца.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Реквизиты для фиксации (заполнить): дата выявления превышения — ___; дата представления плана в АРРФР — ___; исходящий номер — ___.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single" w:color="A8492F" w:sz="18"/>
              <w:bottom w:val="none" w:color="FFFFFF" w:sz="0"/>
              <w:right w:val="none" w:color="FFFFFF" w:sz="0"/>
            </w:tcBorders>
            <w:shd w:fill="FBF3F0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A8492F"/>
                <w:spacing w:val="24"/>
                <w:sz w:val="15"/>
                <w:szCs w:val="15"/>
              </w:rPr>
              <w:t xml:space="preserve">ДЕДЛАЙН</w:t>
            </w:r>
          </w:p>
          <w:p>
            <w:r>
              <w:rPr>
                <w:rFonts w:ascii="Times New Roman" w:cs="Times New Roman" w:eastAsia="Times New Roman" w:hAnsi="Times New Roman"/>
                <w:color w:val="16202B"/>
                <w:sz w:val="19"/>
                <w:szCs w:val="19"/>
              </w:rPr>
              <w:t xml:space="preserve">При самостоятельном выявлении превышения план представляется в АРРФР «в течение 5 (пяти) рабочих дней со дня их выявления» (п. 102 Нормативов № 85). Защита п. 99 действует с момента представления плана и назад не распространяется.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2. Что говорят нормы (дословно)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4434"/>
        <w:gridCol w:w="3085"/>
      </w:tblGrid>
      <w:tr>
        <w:trPr>
          <w:tblHeader/>
        </w:trP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Норма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Цитата (сокращённо)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Значение для нас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Нормативы № 85, п. 98 ч. 1 пп. 3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«превышение отношения неработающих займов к общему объему ссудного портфеля банка»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наш лимит; НЗ — займы с признаками обесценения по МСФО и Правилам № 61 плюс POCI, расчёт gross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№ 85, п. 107 пп. 3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«НЗ/СП ≥ 10 %»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триггер срабатывания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№ 85, п. 104 пп. 2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«на снижение отношения неработающих к общему объему ссудного портфеля банка до уровня менее 10 (десяти) процентов»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цель плана;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срок возврата нормой не установлен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№ 85, п. 99 ч. 3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«в случае представления плана мероприятий превышение… не рассматривается как нарушение лимитов»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щит: пока план представлен и исполняется, превышение — не нарушение; длительность щита не ограничена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№ 85, п. 106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«уполномоченный орган… ежемесячно на базе данных отчетности осуществляет анализ деятельности банка»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АРРФР видит превышение каждый месяц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Закон № 258-VIII, ст. 80 п. 5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«обязаны уведомить… об исполнении мер… в сроки, предусмотренные данными документами»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срок, заявленный в плане, — юридическое обязательство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ст. 80 п. 6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«…по причинам, не зависящим от банка… срок… может быть продлен до даты, установленной уполномоченным органом»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продление — только по внешним причинам и на условиях АРРФР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ст. 78 п. 3 пп. 3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«учитываются… систематичность и продолжительность нарушений»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длительность — фактор ужесточения мер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ст. 85 п. 2 пп. 1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«снижение значений пруденциальных нормативов и лимитов…»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признак ухудшения финансовой устойчивости — вход в антикризисные режимы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ст. 87 п. 6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«режим усиленного надзора прекращается… при устранении оснований… и соблюдении банком в течение шести последовательных календарных месяцев… нормативов и лимитов»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цена входа в режим — минимум полгода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ст. 88 п. 4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«не может предусматривать срок реализации, превышающий двенадцать месяцев»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ориентир масштаба: даже план восстановления ограничен 12 месяцами — наши 3 месяца консервативны</w:t>
            </w:r>
          </w:p>
        </w:tc>
      </w:tr>
    </w:tbl>
    <w:p>
      <w:pPr>
        <w:spacing w:after="220" w:before="80"/>
      </w:pPr>
      <w:r>
        <w:rPr>
          <w:rFonts w:ascii="Times New Roman" w:cs="Times New Roman" w:eastAsia="Times New Roman" w:hAnsi="Times New Roman"/>
          <w:i/>
          <w:iCs/>
          <w:color w:val="5B6B7A"/>
          <w:sz w:val="16"/>
          <w:szCs w:val="16"/>
        </w:rPr>
        <w:t xml:space="preserve">Нормативы № 85 от 28.04.2026 (рег. № 38587), глава 11; Закон РК № 258-VIII от 16.01.2026 (ред. на 25.08.2026)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3. Ограничен ли срок превышения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Прямой нормы вида «нарушение лимита на протяжении N месяцев влечёт…» </w:t>
      </w: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нет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— ни в главе 11 Нормативов № 85, ни в Законе. Вместо неё работают две конструкции. Первая: срок возврата задаёт сам банк в плане мероприятий, и с момента представления плана этот срок становится обязательством (ст. 80 п. 5). Вторая: продолжительность нарушения учитывается регулятором при выборе меры реагирования (ст. 78 п. 3 пп. 3) и входит в признаки ухудшения финансовой устойчивости (ст. 85). Конкретные значения признаков — сколько месяцев какого отклонения — делегированы отдельному постановлению АРРФР, которое необходимо получить.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4. Сценарии из текущего статуса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4434"/>
        <w:gridCol w:w="3085"/>
      </w:tblGrid>
      <w:tr>
        <w:trPr>
          <w:tblHeader/>
        </w:trP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Сценарий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Правовая квалификация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Последствия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А. План представлен в срок, исполняется; через ~3 месяца НЗ/СП &lt; 10 %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превышение не является нарушением (п. 99 ч. 3)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эпизод закрывается; подтверждение — ежемесячная отчётность (п. 106). Штатный исход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Б. План представлен, но заявленный срок сорван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невыполнение меры надзорного реагирования (ст. 78 п. 2 пп. 7)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меры ст. 80: доформирование провизий, ограничение операций, запрет дивидендов; при углублении — принудительные меры (ст. 81); вероятный вход в признаки ст. 85 → усиленный надзор (ст. 87). Продление срока — только по не зависящим от банка причинам (ст. 80 п. 6)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В. План не представлен (или подан с пропуском 5 дней)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каждое месячное превышение рассматривается как нарушение лимита; три месяца — «продолжительность» по ст. 78 п. 3 пп. 3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основания для мер ст. 78–80 уже сейчас; прямой вход в признак ст. 85 п. 2 пп. 1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Г. НЗ продолжает расти при недостаточном резервировании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признаки ухудшения (ст. 85)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режим усиленного надзора (ст. 87): проверки с внешними оценщиками за счёт банка, требование докапитализации, приостановление операций; выход — минимум 6 месяцев чистого соблюдения (п. 6); далее — восстановление (ст. 89) и урегулирование (ст. 92)</w:t>
            </w:r>
          </w:p>
        </w:tc>
      </w:tr>
    </w:tbl>
    <w:p>
      <w:pPr>
        <w:spacing w:after="220" w:before="80"/>
      </w:pPr>
      <w:r>
        <w:rPr>
          <w:rFonts w:ascii="Times New Roman" w:cs="Times New Roman" w:eastAsia="Times New Roman" w:hAnsi="Times New Roman"/>
          <w:i/>
          <w:iCs/>
          <w:color w:val="5B6B7A"/>
          <w:sz w:val="16"/>
          <w:szCs w:val="16"/>
        </w:rPr>
        <w:t xml:space="preserve">Квалификация — по текстам Нормативов № 85 и Закона № 258-VIII; выбор сценария определяется фактами из раздела 1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5. Что предлагается сделать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Письменно зафиксировать дату выявления и дату представления плана (развилка сценариев А/В зависит только от этих двух дат).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Если план ещё не представлен в АРРФР — представить немедленно: щит п. 99 включается представлением, а не одобрением.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Вести помесячные контрольные точки собственного расчёта НЗ/СП с опережением регуляторного цикла п. 106; отклонение от траектории — повод инициировать корректировку плана через процедуру замечаний (п. 100), а не объясняться после срыва.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Меры плана связать с провизиями по Правилам № 61: доформирование лучше провести самостоятельно, чем получить как требование по ст. 80 п. 1 пп. 5.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В сроках плана оставить запас и перечислить события вне контроля банка (например, сроки торгов по залогам) — это основа продления по ст. 80 п. 6.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Получить постановление АРРФР о значениях признаков ухудшения финансовой устойчивости (ст. 85 п. 2: значения устанавливаются НПА уполномоченного органа) — без него пороги входа в усиленный надзор известны только по публикациям о проекте.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6. Источники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Постановление Правления АРРФР от 28.04.2026 № 85 (рег. № 38587), глава 11 «Лимиты в целях минимизации рисков банков», пп. 98–108.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Закон РК от 16.01.2026 № 258-VIII «О банках и банковской деятельности», ст. 72, 78, 80, 81, 85, 87–92 (редакция на 25.08.2026).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Постановление Правления АРРФР от 29.09.2025 № 61 (рег. № 36994) — критерии обесценения, определяющие периметр НЗ.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Развёрнутый разбор — Razbor_glavy_11_N85_v0.2.docx; план действий — Plan_deystviy_98-3_v0.2.docx (контур docs/analysis/npl_limits).</w:t>
      </w:r>
    </w:p>
    <w:sectPr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2026-08-19T09:27:52.440Z</dcterms:created>
  <dcterms:modified xsi:type="dcterms:W3CDTF">2026-08-19T09:27:52.441Z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