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СЛУЖЕБНАЯ ЗАПИСКА</w:t>
      </w:r>
    </w:p>
    <w:p>
      <w:pPr>
        <w:spacing w:after="200"/>
        <w:jc w:val="center"/>
      </w:pPr>
      <w:r>
        <w:rPr>
          <w:sz w:val="24"/>
          <w:szCs w:val="24"/>
        </w:rPr>
        <w:t xml:space="preserve">О смягчении условия оздоровления займов из 3-й корзины во 2-ю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rPr>
          <w:tblHeader w:val="false"/>
        </w:trPr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7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Дамир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</w:t>
            </w:r>
          </w:p>
        </w:tc>
        <w:tc>
          <w:tcPr>
            <w:tcW w:type="dxa" w:w="7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Блок управления рисками (Мирас)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7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27.08.2026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Предмет</w:t>
            </w:r>
          </w:p>
        </w:tc>
        <w:tc>
          <w:tcPr>
            <w:tcW w:type="dxa" w:w="7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Правка одного предложения Приложения 4 к Методике расчёта провизий (резервов) в соответствии с МСФО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1. О чём решение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Периметр.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Розничные займы, находящиеся в 3-й корзине (Stage 3), у которых просрочка на отчётные даты близка к нулю: заёмщик платит, но оздоровление не наступает из-за строгости внутреннего правила.</w:t>
      </w:r>
    </w:p>
    <w:p>
      <w:pPr>
        <w:spacing w:after="120" w:line="264"/>
      </w:pPr>
      <w:r>
        <w:rPr>
          <w:sz w:val="20"/>
          <w:szCs w:val="20"/>
        </w:rPr>
        <w:t xml:space="preserve">Действующее правило — Приложение 4 к Методике, этап 1 оздоровления: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«…обесцененные займы (корзина 3) переходят в категорию (корзина 2)… при условии погашения контрагентом задолженности, которое приводит к снижению валовой балансовой стоимости… до уровня равной или ниже суммы задолженности на момент перехода… и в случае отсутствия на дату оценки событий, являющихся объективными подтверждениями обесценения, т.е. не имеют просрочек по платежам 6 (шесть) месяцев подряд»</w:t>
      </w:r>
    </w:p>
    <w:p>
      <w:pPr>
        <w:spacing w:after="120" w:line="264"/>
      </w:pPr>
      <w:r>
        <w:rPr>
          <w:sz w:val="20"/>
          <w:szCs w:val="20"/>
        </w:rPr>
        <w:t xml:space="preserve">Предлагаемая правка — в выделенной части: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«…т.е. не имеют просрочек более 15 дней по платежам 6 (шесть) месяцев подряд»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Правится одно 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Остальные условия перехода не затрагиваются.</w:t>
      </w:r>
    </w:p>
    <w:p>
      <w:pPr>
        <w:pStyle w:val="Heading1"/>
        <w:spacing w:after="160" w:before="320"/>
      </w:pPr>
      <w:r>
        <w:t xml:space="preserve">2. Прямой ответ: внешнюю норму правка не нарушает</w:t>
      </w:r>
    </w:p>
    <w:p>
      <w:pPr>
        <w:spacing w:after="120" w:line="264"/>
      </w:pPr>
      <w:r>
        <w:rPr>
          <w:sz w:val="20"/>
          <w:szCs w:val="20"/>
        </w:rPr>
        <w:t xml:space="preserve">Три звена, каждое на тексте документов.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Звено 1. Норма отдаёт определение признака нам.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Правила № 61 п. 15 абзац первый требует «отсутствия на дату оценки событий, являющихся объективными подтверждениями обесценения на основе признаков обесценения финансового актива, установленных Методикой расчёта провизий (резервов)».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Условие точечное — на дату оценки.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Никакого шестимесячного окна по признакам норма не требует.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Звено 2. Наш признак — 90 дней, а не ноль.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Приложение 4, п. 5: займы на коллективной основе считаются обесцененными при просрочке более 90 дней; реструктуризации в связи с ухудшением финансового состояния; смерти заёмщика; нахождении в местах лишения свободы; банкротстве. При просрочке до 15 дней ни один признак не выполняется.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Звено 3. Шесть месяцев нулевой просрочки — наша собственная надстройка.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Методике она введена через «т.е.» как расшифровка условия об отсутствии признаков. Норма такой расшифровки не содержит и не требует.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blHeader/>
        </w:trPr>
        <w:tc>
          <w:tcPr>
            <w:tcW w:type="dxa" w:w="9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Вывод: и действующая, и смягчённая редакция удовлетворяют норме. Разница только в том, насколько сильно Банк ужесточает себя сверх неё.</w:t>
            </w:r>
          </w:p>
        </w:tc>
      </w:tr>
    </w:tbl>
    <w:p>
      <w:pPr>
        <w:pStyle w:val="Heading1"/>
        <w:spacing w:after="160" w:before="320"/>
      </w:pPr>
      <w:r>
        <w:t xml:space="preserve">3. Довод сильнее, чем «не нарушает»: правка приближает нас к тексту нормы</w:t>
      </w:r>
    </w:p>
    <w:p>
      <w:pPr>
        <w:spacing w:after="120" w:line="264"/>
      </w:pPr>
      <w:r>
        <w:rPr>
          <w:sz w:val="20"/>
          <w:szCs w:val="20"/>
        </w:rPr>
        <w:t xml:space="preserve">Шестимесячный период в нашей Методике по смыслу отвечает п. 15 подпункту 1 Правил № 61. А там период определён как тот,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«в течение которого не наблюдается ухудшение финансового состояния заемщика»</w:t>
      </w:r>
    </w:p>
    <w:p>
      <w:pPr>
        <w:spacing w:after="120" w:line="264"/>
      </w:pPr>
      <w:r>
        <w:rPr>
          <w:sz w:val="20"/>
          <w:szCs w:val="20"/>
        </w:rPr>
        <w:t xml:space="preserve">«Ухудшение финансового состояния» и «нулевая просрочка» — не одно и то же. Норма говорит о финансовом состоянии; действующая редакция подменяет его единственным показателем в самом жёстком его значении и получается строже нормы.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Это основной довод для предъявления, и он текстовый, а не риторический.</w:t>
      </w:r>
    </w:p>
    <w:p>
      <w:pPr>
        <w:pStyle w:val="Heading2"/>
        <w:spacing w:after="120" w:before="240"/>
      </w:pPr>
      <w:r>
        <w:t xml:space="preserve">Оговорка, которую надо сделать самим, пока её не сделал проверяющий</w:t>
      </w:r>
    </w:p>
    <w:p>
      <w:pPr>
        <w:spacing w:after="120" w:line="264"/>
      </w:pPr>
      <w:r>
        <w:rPr>
          <w:sz w:val="20"/>
          <w:szCs w:val="20"/>
        </w:rPr>
        <w:t xml:space="preserve">Напрашивается второй довод — что допуск 15 дней лежит ниже нашего же маркера ухудшения. Приложение 4 п. 5 признак 2 говорит о реструктуризации «в том числе при наличии просроченных обязательств сроком тридцать календарных дней и более».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Этот довод предъявлять нельзя.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15 — величина на отчётную дату, 30 — величина фактическая; сравнивать их напрямую некорректно. Данные о просрочке хранятся срезами на 1-е число, и допуск 15 дней на срезе соответствует внутримесячному пику до 45 дней (раздел 4.1). Фактическая просрочка в пуле маркер 30 дней не «лежит ниже» — она его превышает.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Сам порог 30 дней остаётся значимым в другом качестве: он показывает, что ноль дней не является нашим собственным представлением об ухудшении.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Но как числовое сравнение «15 против 30» этот довод разворачивается против нас, и в предъявлении его быть не должно.</w:t>
      </w:r>
    </w:p>
    <w:p>
      <w:pPr>
        <w:pStyle w:val="Heading1"/>
        <w:spacing w:after="160" w:before="320"/>
      </w:pPr>
      <w:r>
        <w:t xml:space="preserve">4. Три условия, без которых правку вносить нельзя</w:t>
      </w:r>
    </w:p>
    <w:p>
      <w:pPr>
        <w:pStyle w:val="Heading2"/>
        <w:spacing w:after="120" w:before="240"/>
      </w:pPr>
      <w:r>
        <w:t xml:space="preserve">4.1. Формулировка должна описывать то, что система проверяет</w:t>
      </w:r>
    </w:p>
    <w:p>
      <w:pPr>
        <w:spacing w:after="120" w:line="264"/>
      </w:pPr>
      <w:r>
        <w:rPr>
          <w:sz w:val="20"/>
          <w:szCs w:val="20"/>
        </w:rPr>
        <w:t xml:space="preserve">Данные о просрочке хранятся срезами только на 1-е число месяца. Между срезами фактическая просрочка не наблюдается: заём, показавший 6 дней на срезе, мог в течение месяца иметь просрочку до 36–45 дней.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Записав «не имеют просрочек более 15 дней 6 месяцев подряд», мы запишем в Методику утверждение, которое системой не проверяется. Это прямое нарушение п. 25 Правил № 61: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перечень в Методике не должен быть недостоверным.</w:t>
      </w:r>
    </w:p>
    <w:p>
      <w:pPr>
        <w:spacing w:after="120" w:line="264"/>
      </w:pPr>
      <w:r>
        <w:rPr>
          <w:sz w:val="20"/>
          <w:szCs w:val="20"/>
        </w:rPr>
        <w:t xml:space="preserve">Две допустимые редакции: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100"/>
        <w:gridCol w:w="3300"/>
      </w:tblGrid>
      <w:tr>
        <w:trPr>
          <w:tblHeader/>
        </w:trPr>
        <w:tc>
          <w:tcPr>
            <w:tcW w:type="dxa" w:w="1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5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Формулировка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Условие применимости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A
доступна сейчас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«…т.е. на каждую отчётную дату в течение 6 (шести) месяцев подряд просрочка по платежам не превышает 15 календарных дней»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ничего не требуется, описывает текущую возможность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B
предпочтительна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«…т.е. ни один плановый платёж в течение 6 (шести) месяцев подряд не был просрочен более чем на 15 календарных дней»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требует данных о фактических датах платежей</w:t>
            </w:r>
          </w:p>
        </w:tc>
      </w:tr>
    </w:tbl>
    <w:p>
      <w:pPr>
        <w:spacing w:after="120" w:line="264"/>
      </w:pPr>
      <w:r>
        <w:rPr>
          <w:sz w:val="20"/>
          <w:szCs w:val="20"/>
        </w:rPr>
        <w:t xml:space="preserve">Редакция B — это то, что имеется в виду по существу. Редакция A — честная запись того, что мы умеем проверять сегодня. Выбор между ними определяется тем, доступна ли выгрузка графика и фактических платежей; запрос подготовлен.</w:t>
      </w:r>
    </w:p>
    <w:p>
      <w:pPr>
        <w:pStyle w:val="Heading2"/>
        <w:spacing w:after="120" w:before="240"/>
      </w:pPr>
      <w:r>
        <w:t xml:space="preserve">4.2. Шесть месяцев доступны не всем и не безусловно</w:t>
      </w:r>
    </w:p>
    <w:p>
      <w:pPr>
        <w:spacing w:after="120" w:line="264"/>
      </w:pPr>
      <w:r>
        <w:rPr>
          <w:sz w:val="20"/>
          <w:szCs w:val="20"/>
        </w:rPr>
        <w:t xml:space="preserve">П. 15 подпункт 1 Правил № 61 допускает шестимесячный период только: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займам, выданным физическим лицам;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оцениваемым на коллективной основе;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при наличии исторической статистики погашения реструктуризированных займов физлиц, свидетельствующей о «стабилизации динамики выхода на просрочку, начиная с седьмого платежа».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Без этой статистики норма даёт 12 месяцев.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Статистика у Банка не собрана; спецификация исследования подготовлена и приложена отдельным документом.</w:t>
      </w:r>
    </w:p>
    <w:p>
      <w:pPr>
        <w:spacing w:after="120" w:line="264"/>
      </w:pPr>
      <w:r>
        <w:rPr>
          <w:sz w:val="20"/>
          <w:szCs w:val="20"/>
        </w:rPr>
        <w:t xml:space="preserve">Это ограничение действует и сейчас, независимо от правки: действующая шестимесячная редакция опирается на ту же поблажку.</w:t>
      </w:r>
    </w:p>
    <w:p>
      <w:pPr>
        <w:pStyle w:val="Heading2"/>
        <w:spacing w:after="120" w:before="240"/>
      </w:pPr>
      <w:r>
        <w:t xml:space="preserve">4.3. Критерий должен быть в Методике до применения, а не после</w:t>
      </w:r>
    </w:p>
    <w:p>
      <w:pPr>
        <w:spacing w:after="120" w:line="264"/>
      </w:pPr>
      <w:r>
        <w:rPr>
          <w:sz w:val="20"/>
          <w:szCs w:val="20"/>
        </w:rPr>
        <w:t xml:space="preserve">П. 25 Правил № 61 подпункт 7 требует, чтобы Методика содержала критерии определения значительного увеличения кредитного риска «при его увеличении и (или) уменьшении», и закрывается фразой: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«Не допускается определение в Методике расчёта провизий (резервов) неполных перечней и (или) информации»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Применение смягчённого критерия до внесения его в Методику — процедурное нарушение, проверяемое одним взглядом в документ.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возникает автоматически и висит на том, кто применил.</w:t>
      </w:r>
    </w:p>
    <w:p>
      <w:pPr>
        <w:pStyle w:val="Heading1"/>
        <w:spacing w:after="160" w:before="320"/>
      </w:pPr>
      <w:r>
        <w:t xml:space="preserve">5. Порядок утверждения: ускоренный маршрут и его граница</w:t>
      </w:r>
    </w:p>
    <w:p>
      <w:pPr>
        <w:spacing w:after="120" w:line="264"/>
      </w:pPr>
      <w:r>
        <w:rPr>
          <w:sz w:val="20"/>
          <w:szCs w:val="20"/>
        </w:rPr>
        <w:t xml:space="preserve">Предложен вариант не переиздавать Методику, а провести правку отдельным документом через орган, который Методику утверждал. Вариант рабочий, но его граница проходит по тексту нормы, а не по скорости процедуры.</w:t>
      </w:r>
    </w:p>
    <w:p>
      <w:pPr>
        <w:pStyle w:val="Heading2"/>
        <w:spacing w:after="120" w:before="240"/>
      </w:pPr>
      <w:r>
        <w:t xml:space="preserve">5.1. Норма требует разного носителя для разных вещей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3300"/>
        <w:gridCol w:w="1800"/>
      </w:tblGrid>
      <w:tr>
        <w:trPr>
          <w:tblHeader/>
        </w:trPr>
        <w:tc>
          <w:tcPr>
            <w:tcW w:type="dxa" w:w="2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закрепляем</w:t>
            </w:r>
          </w:p>
        </w:tc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Норма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Требование к носителю</w:t>
            </w:r>
          </w:p>
        </w:tc>
        <w:tc>
          <w:tcPr>
            <w:tcW w:type="dxa" w:w="1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Отдельный документ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Период 6 / 12 месяцев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подпункт 1, предложение 1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«определяется во внутреннем документе финансовой организации»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проходит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Критерий порога просрочки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25 подпункт 7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«Методика расчёта провизий (резервов) содержит…», прямой запрет неполных перечней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 проходит</w:t>
            </w:r>
          </w:p>
        </w:tc>
      </w:tr>
    </w:tbl>
    <w:p>
      <w:pPr>
        <w:spacing w:after="120" w:line="264"/>
      </w:pPr>
      <w:r>
        <w:rPr>
          <w:sz w:val="20"/>
          <w:szCs w:val="20"/>
        </w:rPr>
        <w:t xml:space="preserve">Про период норма сформулирована широко — годится любой внутренний документ. Про критерии значительного увеличения кредитного риска «при его увеличении и (или) уменьшении» она названа адресно: Методика.</w:t>
      </w:r>
    </w:p>
    <w:p>
      <w:pPr>
        <w:pStyle w:val="Heading2"/>
        <w:spacing w:after="120" w:before="240"/>
      </w:pPr>
      <w:r>
        <w:t xml:space="preserve">5.2. Решает реквизит «вид документа», а не орган и не скорость</w:t>
      </w:r>
    </w:p>
    <w:p>
      <w:pPr>
        <w:spacing w:after="120" w:line="264"/>
      </w:pPr>
      <w:r>
        <w:rPr>
          <w:sz w:val="20"/>
          <w:szCs w:val="20"/>
        </w:rPr>
        <w:t xml:space="preserve">Методика утверждена протоколом Правления № 52/25 от 13.07.2018 в редакции от 21.02.2024.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Если то же Правление тем же порядком принимает документ с реквизитом «Изменения и дополнения в Методику…» — Методика критерий содержит,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п. 25 выполнен, полный текст переиздавать не требуется.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Если документ имеет любой иной вид — решение о применении, порядок, регламент, приказ, протокол с резолюцией — Методика критерия не содержит,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и п. 25 не выполнен независимо от числа подписей.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blHeader/>
        </w:trPr>
        <w:tc>
          <w:tcPr>
            <w:tcW w:type="dxa" w:w="9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Предложенный маршрут при верном реквизите и есть внесение правки в Методику. Разница не в скорости и не в органе, а в одной строке проекта решения.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Отдельно уточняется, чем утверждено Приложение 4 — тем же протоколом или самостоятельно. Изменения вносятся тем же порядком, каким документ утверждался.</w:t>
      </w:r>
    </w:p>
    <w:p>
      <w:pPr>
        <w:pStyle w:val="Heading2"/>
        <w:spacing w:after="120" w:before="240"/>
      </w:pPr>
      <w:r>
        <w:t xml:space="preserve">5.3. Ускорение снимает одно обязательное условие из пяти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Условие до внедрения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Снимается ускоренным порядком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Критерий закреплён в Методике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да, при верном реквизите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Статистика под шестимесячный период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нет — п. 15 подпункт 1 обусловлен ею прямо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Выбор критерия по сумме погашения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нет, методологический выбор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 входа в дефолт и остаток на неё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нет, таких данных не собрано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Редакция формулировки A или B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нет — недостоверная формулировка недостоверна в любом документе</w:t>
            </w:r>
          </w:p>
        </w:tc>
      </w:tr>
    </w:tbl>
    <w:p>
      <w:pPr>
        <w:spacing w:after="120" w:line="264"/>
      </w:pPr>
      <w:r>
        <w:rPr>
          <w:sz w:val="20"/>
          <w:szCs w:val="20"/>
        </w:rPr>
        <w:t xml:space="preserve">Главный нормативный риск — не порог 15 дней, а шестимесячный период (раздел 4.2). Ускорение процедуры его не касается.</w:t>
      </w:r>
    </w:p>
    <w:p>
      <w:pPr>
        <w:pStyle w:val="Heading2"/>
        <w:spacing w:after="120" w:before="240"/>
      </w:pPr>
      <w:r>
        <w:t xml:space="preserve">5.4. Довод против ускоренного маршрута по существу</w:t>
      </w:r>
    </w:p>
    <w:p>
      <w:pPr>
        <w:spacing w:after="120" w:line="264"/>
      </w:pPr>
      <w:r>
        <w:rPr>
          <w:sz w:val="20"/>
          <w:szCs w:val="20"/>
        </w:rPr>
        <w:t xml:space="preserve">Плановый пересмотр Методики и целевой документ под запуск оздоровления содержат одну и ту же правку, но читаются проверяющим по-разному.</w:t>
      </w:r>
    </w:p>
    <w:p>
      <w:pPr>
        <w:spacing w:after="120" w:line="264"/>
      </w:pPr>
      <w:r>
        <w:rPr>
          <w:sz w:val="20"/>
          <w:szCs w:val="20"/>
        </w:rPr>
        <w:t xml:space="preserve">Методика — в редакции 21.02.2024, Правила № 61 — от 29.09.2025. Приведение в соответствие требуется в любом случае, и внутри такого пересмотра правка по просрочке является одним из пунктов приведения к норме.</w:t>
      </w:r>
    </w:p>
    <w:p>
      <w:pPr>
        <w:spacing w:after="120" w:line="264"/>
      </w:pPr>
      <w:r>
        <w:rPr>
          <w:sz w:val="20"/>
          <w:szCs w:val="20"/>
        </w:rPr>
        <w:t xml:space="preserve">Отдельный документ, принятый ускоренно под конкретный запуск, — целевое решение с измеримым эффектом на долю 3-й стадии и покрытие провизиями. Он сам порождает вопрос о том, почему принят именно в этот момент и именно в этой величине.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blHeader/>
        </w:trPr>
        <w:tc>
          <w:tcPr>
            <w:tcW w:type="dxa" w:w="9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Первый маршрут медленнее на недели и снимает вопрос. Второй быстрее и создаёт его.</w:t>
            </w:r>
          </w:p>
        </w:tc>
      </w:tr>
    </w:tbl>
    <w:p>
      <w:pPr>
        <w:pStyle w:val="Heading2"/>
        <w:spacing w:after="120" w:before="240"/>
      </w:pPr>
      <w:r>
        <w:t xml:space="preserve">5.5. Терминология, на которой легко ошибиться</w:t>
      </w:r>
    </w:p>
    <w:p>
      <w:pPr>
        <w:spacing w:after="120" w:line="264"/>
      </w:pPr>
      <w:r>
        <w:rPr>
          <w:sz w:val="20"/>
          <w:szCs w:val="20"/>
        </w:rPr>
        <w:t xml:space="preserve">В нормативных актах Республики Казахстан «уполномоченный орган» означает уполномоченный орган по регулированию, контролю и надзору финансового рынка и финансовых организаций.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Во внутренних документах по настоящему вопросу писать следует «уполномоченный орган Банка» либо прямо «Правление».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Иначе формулировка «согласовано с уполномоченным органом» будет прочитана как согласование с регулятором.</w:t>
      </w:r>
    </w:p>
    <w:p>
      <w:pPr>
        <w:pStyle w:val="Heading2"/>
        <w:spacing w:after="120" w:before="240"/>
      </w:pPr>
      <w:r>
        <w:t xml:space="preserve">5.6. Где административный ресурс даёт больше</w:t>
      </w:r>
    </w:p>
    <w:p>
      <w:pPr>
        <w:spacing w:after="120" w:line="264"/>
      </w:pPr>
      <w:r>
        <w:rPr>
          <w:sz w:val="20"/>
          <w:szCs w:val="20"/>
        </w:rPr>
        <w:t xml:space="preserve">Порог 15 дней нормативно защитим и без внешнего подтверждения — раздел 2. Шестимесячный период — нет: чтение п. 15 неоднозначно, и надзор, применяющий буквальное чтение абзаца первого, найдёт основание требовать 12 месяцев.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Если возможность ускоренного проведения решений есть, письменный запрос в уполномоченный орган о принимаемом чтении п. 15 даёт несопоставимо больше, чем ускорение внутреннего согласования порога.</w:t>
      </w:r>
    </w:p>
    <w:p>
      <w:pPr>
        <w:pStyle w:val="Heading1"/>
        <w:spacing w:after="160" w:before="320"/>
      </w:pPr>
      <w:r>
        <w:t xml:space="preserve">6. Чего правка не решает — и об этом лучше сказать самим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 Методике отсутствует требование нормы о периоде погашения.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П. 15 абзац первый Правил № 61 требует «погашения контрагентом задолженности за период не менее 12 (двенадцати) месяцев». Оба этапа нашего Приложения 4 сформулированы как «при условии погашения контрагентом задолженности, которое приводит к снижению валовой балансовой стоимости…» — без периода.</w:t>
      </w:r>
    </w:p>
    <w:p>
      <w:pPr>
        <w:spacing w:after="120" w:line="264"/>
      </w:pPr>
      <w:r>
        <w:rPr>
          <w:sz w:val="20"/>
          <w:szCs w:val="20"/>
        </w:rPr>
        <w:t xml:space="preserve">Шесть месяцев стоят у нас в другом условии — об отсутствии признаков обесценения. Это разные конструкции, и одна не замещает другую.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Расхождение существует независимо от правки и не создаётся ею.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Но оно становится заметнее: сегодня требование нулевой просрочки в течение шести месяцев внешне выглядит как период наблюдения, и проверяющий может это зачесть. После смягчения такого впечатления не остаётся.</w:t>
      </w:r>
    </w:p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rPr>
          <w:tblHeader/>
        </w:trPr>
        <w:tc>
          <w:tcPr>
            <w:tcW w:type="dxa" w:w="9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Рекомендация: вносить обе правки одним пересмотром Методики — и смягчение условия по просрочке, и приведение условия о периоде погашения к пункту 15. Отдельная правка только по просрочке оставляет открытым более существенный вопрос. Это же соображение — довод в пользу планового пересмотра против ускоренного маршрута, разобранного в разделе 5.4.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Дополнительно: действующая редакция Методики утверждена 21.02.2024, Правила № 61 — 29.09.2025. Приведение в соответствие требуется в любом случае; механизм предусмотрен пунктом 71 самой Методики.</w:t>
      </w:r>
    </w:p>
    <w:p>
      <w:pPr>
        <w:pStyle w:val="Heading1"/>
        <w:spacing w:after="160" w:before="320"/>
      </w:pPr>
      <w:r>
        <w:t xml:space="preserve">7. Что мы затрагиваем за пределами учёта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Доля займов 3-й стадии — показатель, по которому включается надзорный режим.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Постановление АРРФР № 119 от 07.08.2026, п. 7 подпункт 2:</w:t>
      </w:r>
    </w:p>
    <w:p>
      <w:pPr>
        <w:pBdr>
          <w:left w:val="single" w:color="999999" w:sz="12" w:space="8"/>
        </w:pBdr>
        <w:shd w:fill="F4F4F4" w:color="auto" w:val="clear"/>
        <w:spacing w:after="120" w:before="80" w:line="264"/>
        <w:ind w:left="340" w:right="200"/>
      </w:pPr>
      <w:r>
        <w:rPr>
          <w:i/>
          <w:iCs/>
          <w:sz w:val="19"/>
          <w:szCs w:val="19"/>
        </w:rPr>
        <w:t xml:space="preserve">ДС3 ≥ 10 % и КПП &lt; 40 % шесть последовательных месяцев — режим усиленного надзора; ДС3 ≥ 15 % и КПП &lt; 40 % — режим восстановления финансовой устойчивости</w:t>
      </w:r>
    </w:p>
    <w:p>
      <w:pPr>
        <w:spacing w:after="120" w:line="264"/>
      </w:pPr>
      <w:r>
        <w:rPr>
          <w:sz w:val="20"/>
          <w:szCs w:val="20"/>
        </w:rPr>
        <w:t xml:space="preserve">где ДС3 — доля кредитов 3 стадии в ссудном портфеле, КПП — покрытие их провизиями.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Оздоровление действует на обе составляющие условия в благоприятную сторону одновременно: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ДС3 снижается, КПП растёт, поскольку из 3-й корзины уходят наименее зарезервированные займы.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Это не довод против правки.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Это причина посчитать и раскрыть эффект до решения, а не после вопроса регулятора. Требуется: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фактические ДС3 и КПП за последние 6 отчётных месяцев;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их значения после применения смягчённого критерия;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расстояние до порогов 10 % / 15 % и 40 % — до и после;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эффект на неработающие займы и запас до лимита главы 11 Нормативов № 85.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Раскрывать отдельной строкой: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сколько ушло из 3-й корзины по новому правилу и сколько по фактическому улучшению качества портфеля. Это первый вопрос службы внутреннего аудита, и лучше ответить на него самим.</w:t>
      </w:r>
    </w:p>
    <w:p>
      <w:pPr>
        <w:pStyle w:val="Heading1"/>
        <w:spacing w:after="160" w:before="320"/>
      </w:pPr>
      <w:r>
        <w:t xml:space="preserve">8. Чего мы сегодня не знаем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Расчётов по портфелю не проводилось: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скрипты подготовлены, данные не поступали. В частности не известны: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сколько договоров и на какую сумму даёт смягчение;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какова у них фактическая просрочка между отчётными датами;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какая доля просрочки объясняется рассинхроном даты платежа и даты дохода, а не платёжным поведением;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возвращаются ли оздоровлённые по мягкому правилу в дефолт чаще, чем по строгому, и насколько.</w:t>
      </w:r>
    </w:p>
    <w:p>
      <w:pPr>
        <w:spacing w:after="120" w:line="264"/>
      </w:pPr>
      <w:r>
        <w:rPr>
          <w:sz w:val="20"/>
          <w:szCs w:val="20"/>
        </w:rPr>
        <w:t xml:space="preserve">Последний вопрос — единственный, который отвечает на «безопасно ли это», и его конструкция подготовлена.</w:t>
      </w:r>
    </w:p>
    <w:p>
      <w:pPr>
        <w:pStyle w:val="Heading1"/>
        <w:spacing w:after="160" w:before="320"/>
      </w:pPr>
      <w:r>
        <w:t xml:space="preserve">9. Что требуется от руководителя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7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Почему решает руководитель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Какую редакцию вносим — A (по отчётным датам) или B (по взносам)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B требует выгрузки платежей; это ресурс и срок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Маршрут: плановый пересмотр Методики или ускоренное дополнение под запуск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различие не процедурное, а в том, как документ читается проверяющим — раздел 5.4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Вносить ли правку одним пересмотром с приведением условия о периоде к п. 15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шире исходного поручения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Утвердить критерии приемлемости до расчёта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после расчёта решение принимает правило, а не человек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Запуск исследования статистики под шестимесячный период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без него норма даёт 12 месяцев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Направлять ли запрос в уполномоченный орган о чтении п. 15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отдача выше, чем от ускорения внутренней процедуры — раздел 5.6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Кто и в какой срок вносит правку в Методику</w:t>
            </w:r>
          </w:p>
        </w:tc>
        <w:tc>
          <w:tcPr>
            <w:tcW w:type="dxa" w:w="3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применения, не после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Позиция БРМ.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Правка нормативно допустима и по формулировке ближе к тексту Правил № 61, чем действующая редакция. Вносить её следует одним пересмотром Методики вместе с приведением условия о периоде погашения к пункту 15, в редакции, описывающей то, что система фактически проверяет, и с расчётом эффекта на долю 3-й стадии и покрытие провизиями, выполненным до решения.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Ускоренный порядок через орган, утвердивший Методику, допустим и снимает одно из пяти обязательных условий — при условии, что документ имеет вид изменений и дополнений в Методику, а не самостоятельного решения.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Остальные четыре условия он не затрагивает, а по разделу 5.4 целевой документ под запуск сам по себе порождает вопрос, которого плановый пересмотр не порождает.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Нормативные положения выше прочитаны в оригинале и цитируются по номерам пунктов и статей. Там, где вывод является выбором между двумя чтениями нормы, это указано прямо. Данных по портфелю не поступало: эффект на долю 3-й стадии, покрытие провизиями и неработающие займы в настоящей записке не рассчитан.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2026-08-27T09:28:58.605Z</dcterms:created>
  <dcterms:modified xsi:type="dcterms:W3CDTF">2026-08-27T09:28:58.605Z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