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800"/>
      </w:pPr>
      <w:r>
        <w:rPr>
          <w:rFonts w:ascii="Times New Roman" w:cs="Times New Roman" w:eastAsia="Times New Roman" w:hAnsi="Times New Roman"/>
          <w:b/>
          <w:bCs/>
          <w:color w:val="16202B"/>
          <w:sz w:val="40"/>
          <w:szCs w:val="40"/>
        </w:rPr>
        <w:t xml:space="preserve">Превышение лимита 98-3: правовая рамка, сроки, режимы, сценарии</w:t>
      </w:r>
    </w:p>
    <w:p>
      <w:pPr>
        <w:spacing w:after="80"/>
      </w:pPr>
      <w:r>
        <w:rPr>
          <w:rFonts w:ascii="Times New Roman" w:cs="Times New Roman" w:eastAsia="Times New Roman" w:hAnsi="Times New Roman"/>
          <w:color w:val="5B6B7A"/>
          <w:sz w:val="25"/>
          <w:szCs w:val="25"/>
        </w:rPr>
        <w:t xml:space="preserve">Что говорят действующие нормативные акты о длительности превышения, режимах усиленного надзора и восстановления и что следует из текущего статуса</w:t>
      </w:r>
    </w:p>
    <w:p>
      <w:pPr>
        <w:spacing w:after="200"/>
      </w:pPr>
      <w:r>
        <w:rPr>
          <w:rFonts w:ascii="Times New Roman" w:cs="Times New Roman" w:eastAsia="Times New Roman" w:hAnsi="Times New Roman"/>
          <w:color w:val="5B6B7A"/>
          <w:sz w:val="18"/>
          <w:szCs w:val="18"/>
        </w:rPr>
        <w:t xml:space="preserve">БРМ, АО «Евразийский банк» · рабочий контур docs/analysis/npl_limits · версия 0.5 от 19.08.2026</w:t>
      </w:r>
    </w:p>
    <w:p>
      <w:pPr>
        <w:spacing w:after="180" w:line="300"/>
        <w:jc w:val="both"/>
      </w:pPr>
      <w:r>
        <w:rPr>
          <w:rFonts w:ascii="Times New Roman" w:cs="Times New Roman" w:eastAsia="Times New Roman" w:hAnsi="Times New Roman"/>
          <w:i/>
          <w:iCs/>
          <w:color w:val="3C4A56"/>
          <w:sz w:val="22"/>
          <w:szCs w:val="22"/>
        </w:rPr>
        <w:t xml:space="preserve">Все положения записки — дословные цитаты с указанием пункта; каждая проверяется поиском по тексту соответствующего документа. Выводы, являющиеся сопоставлением автора, помечены отдельно. Перечень всех использованных актов — раздел 2.</w:t>
      </w:r>
    </w:p>
    <w:p>
      <w:pPr>
        <w:pStyle w:val="Heading1"/>
        <w:pBdr>
          <w:bottom w:val="single" w:color="16202B" w:sz="12" w:space="6"/>
        </w:pBdr>
        <w:spacing w:after="160" w:before="360"/>
      </w:pPr>
      <w:r>
        <w:rPr>
          <w:rFonts w:ascii="Times New Roman" w:cs="Times New Roman" w:eastAsia="Times New Roman" w:hAnsi="Times New Roman"/>
          <w:b/>
          <w:bCs/>
          <w:color w:val="16202B"/>
          <w:sz w:val="28"/>
          <w:szCs w:val="28"/>
        </w:rPr>
        <w:t xml:space="preserve">1. Статус-кво</w:t>
      </w:r>
    </w:p>
    <w:p>
      <w:pPr>
        <w:pStyle w:val="ListParagraph"/>
        <w:numPr>
          <w:ilvl w:val="0"/>
          <w:numId w:val="2"/>
        </w:numPr>
        <w:spacing w:after="110" w:line="290"/>
        <w:jc w:val="both"/>
      </w:pPr>
      <w:r>
        <w:rPr>
          <w:rFonts w:ascii="Times New Roman" w:cs="Times New Roman" w:eastAsia="Times New Roman" w:hAnsi="Times New Roman"/>
          <w:color w:val="16202B"/>
          <w:sz w:val="21"/>
          <w:szCs w:val="21"/>
        </w:rPr>
        <w:t xml:space="preserve">Лимит 98-3 — отношение неработающих займов к ссудному портфелю (НЗ/СП) — держится выше 10 % около трёх месяцев.</w:t>
      </w:r>
    </w:p>
    <w:p>
      <w:pPr>
        <w:pStyle w:val="ListParagraph"/>
        <w:numPr>
          <w:ilvl w:val="0"/>
          <w:numId w:val="2"/>
        </w:numPr>
        <w:spacing w:after="110" w:line="290"/>
        <w:jc w:val="both"/>
      </w:pPr>
      <w:r>
        <w:rPr>
          <w:rFonts w:ascii="Times New Roman" w:cs="Times New Roman" w:eastAsia="Times New Roman" w:hAnsi="Times New Roman"/>
          <w:color w:val="16202B"/>
          <w:sz w:val="21"/>
          <w:szCs w:val="21"/>
        </w:rPr>
        <w:t xml:space="preserve">План мероприятий составлен; по плану возврат под лимит — примерно через три месяца.</w:t>
      </w:r>
    </w:p>
    <w:p>
      <w:pPr>
        <w:pStyle w:val="ListParagraph"/>
        <w:numPr>
          <w:ilvl w:val="0"/>
          <w:numId w:val="2"/>
        </w:numPr>
        <w:spacing w:after="110" w:line="290"/>
        <w:jc w:val="both"/>
      </w:pPr>
      <w:r>
        <w:rPr>
          <w:rFonts w:ascii="Times New Roman" w:cs="Times New Roman" w:eastAsia="Times New Roman" w:hAnsi="Times New Roman"/>
          <w:color w:val="16202B"/>
          <w:sz w:val="21"/>
          <w:szCs w:val="21"/>
        </w:rPr>
        <w:t xml:space="preserve">Реквизиты для фиксации (заполнить): дата выявления превышения — ___; дата представления плана в АРРФР — ___; исходящий номер — ___.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c>
          <w:tcPr>
            <w:tcW w:type="dxa" w:w="9640"/>
            <w:tcBorders>
              <w:top w:val="none" w:color="FFFFFF" w:sz="0"/>
              <w:left w:val="single" w:color="A8492F" w:sz="18"/>
              <w:bottom w:val="none" w:color="FFFFFF" w:sz="0"/>
              <w:right w:val="none" w:color="FFFFFF" w:sz="0"/>
            </w:tcBorders>
            <w:shd w:fill="FBF3F0" w:color="auto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color w:val="A8492F"/>
                <w:spacing w:val="24"/>
                <w:sz w:val="15"/>
                <w:szCs w:val="15"/>
              </w:rPr>
              <w:t xml:space="preserve">ДЕДЛАЙН</w:t>
            </w:r>
          </w:p>
          <w:p>
            <w:r>
              <w:rPr>
                <w:rFonts w:ascii="Times New Roman" w:cs="Times New Roman" w:eastAsia="Times New Roman" w:hAnsi="Times New Roman"/>
                <w:color w:val="16202B"/>
                <w:sz w:val="19"/>
                <w:szCs w:val="19"/>
              </w:rPr>
              <w:t xml:space="preserve">«В случае самостоятельного выявления превышения лимитов… банк… в течение 5 (пяти) рабочих дней со дня их выявления представляют в уполномоченный орган план мероприятий» (Нормативы № 85, п. 102). «В случае представления плана мероприятий превышение… не рассматривается как нарушение лимитов» (№ 85, п. 99, часть третья) — защита действует с момента представления плана.</w:t>
            </w:r>
          </w:p>
        </w:tc>
      </w:tr>
    </w:tbl>
    <w:p>
      <w:pPr>
        <w:spacing w:after="180"/>
      </w:pPr>
    </w:p>
    <w:p>
      <w:pPr>
        <w:pStyle w:val="Heading1"/>
        <w:pBdr>
          <w:bottom w:val="single" w:color="16202B" w:sz="12" w:space="6"/>
        </w:pBdr>
        <w:spacing w:after="160" w:before="360"/>
      </w:pPr>
      <w:r>
        <w:rPr>
          <w:rFonts w:ascii="Times New Roman" w:cs="Times New Roman" w:eastAsia="Times New Roman" w:hAnsi="Times New Roman"/>
          <w:b/>
          <w:bCs/>
          <w:color w:val="16202B"/>
          <w:sz w:val="28"/>
          <w:szCs w:val="28"/>
        </w:rPr>
        <w:t xml:space="preserve">2. Периметр нормативной базы</w:t>
      </w:r>
    </w:p>
    <w:p>
      <w:pPr>
        <w:spacing w:after="140" w:line="300"/>
        <w:jc w:val="both"/>
      </w:pPr>
      <w:r>
        <w:rPr>
          <w:rFonts w:ascii="Times New Roman" w:cs="Times New Roman" w:eastAsia="Times New Roman" w:hAnsi="Times New Roman"/>
          <w:color w:val="16202B"/>
          <w:sz w:val="21"/>
          <w:szCs w:val="21"/>
        </w:rPr>
        <w:t xml:space="preserve">Документы, на которых построена записка (в нашем распоряжении полные тексты):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21"/>
        <w:gridCol w:w="4434"/>
        <w:gridCol w:w="3085"/>
      </w:tblGrid>
      <w:tr>
        <w:trPr>
          <w:tblHeader/>
        </w:trPr>
        <w:tc>
          <w:tcPr>
            <w:tcW w:type="dxa" w:w="2121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shd w:fill="EE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aps/>
                <w:color w:val="5B6B7A"/>
                <w:sz w:val="17"/>
                <w:szCs w:val="17"/>
              </w:rPr>
              <w:t xml:space="preserve">Акт</w:t>
            </w:r>
          </w:p>
        </w:tc>
        <w:tc>
          <w:tcPr>
            <w:tcW w:type="dxa" w:w="4434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shd w:fill="EE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aps/>
                <w:color w:val="5B6B7A"/>
                <w:sz w:val="17"/>
                <w:szCs w:val="17"/>
              </w:rPr>
              <w:t xml:space="preserve">Реквизиты</w:t>
            </w:r>
          </w:p>
        </w:tc>
        <w:tc>
          <w:tcPr>
            <w:tcW w:type="dxa" w:w="3085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shd w:fill="EE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aps/>
                <w:color w:val="5B6B7A"/>
                <w:sz w:val="17"/>
                <w:szCs w:val="17"/>
              </w:rPr>
              <w:t xml:space="preserve">Что регулирует для нашего кейса</w:t>
            </w:r>
          </w:p>
        </w:tc>
      </w:tr>
      <w:tr>
        <w:tc>
          <w:tcPr>
            <w:tcW w:type="dxa" w:w="2121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aps w:val="false"/>
                <w:color w:val="16202B"/>
                <w:sz w:val="19"/>
                <w:szCs w:val="19"/>
              </w:rPr>
              <w:t xml:space="preserve">Закон «О банках и банковской деятельности»</w:t>
            </w:r>
          </w:p>
        </w:tc>
        <w:tc>
          <w:tcPr>
            <w:tcW w:type="dxa" w:w="4434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№ 258-VIII от 16.01.2026, в силе с 19.03.2026; у нас редакция на 25.08.2026</w:t>
            </w:r>
          </w:p>
        </w:tc>
        <w:tc>
          <w:tcPr>
            <w:tcW w:type="dxa" w:w="3085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пруднормативы и лимиты (ст. 72), меры надзорного реагирования (ст. 78–81), признаки ухудшения (ст. 85), режимы: усиленный надзор (ст. 87), восстановление (ст. 88–89), урегулирование (ст. 90–101)</w:t>
            </w:r>
          </w:p>
        </w:tc>
      </w:tr>
      <w:tr>
        <w:tc>
          <w:tcPr>
            <w:tcW w:type="dxa" w:w="2121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aps w:val="false"/>
                <w:color w:val="16202B"/>
                <w:sz w:val="19"/>
                <w:szCs w:val="19"/>
              </w:rPr>
              <w:t xml:space="preserve">Нормативы № 85</w:t>
            </w:r>
          </w:p>
        </w:tc>
        <w:tc>
          <w:tcPr>
            <w:tcW w:type="dxa" w:w="4434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АРРФР от 28.04.2026 № 85, рег. № 38587</w:t>
            </w:r>
          </w:p>
        </w:tc>
        <w:tc>
          <w:tcPr>
            <w:tcW w:type="dxa" w:w="3085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глава 11 (пп. 98–108): наш лимит 98-3, план мероприятий, сроки</w:t>
            </w:r>
          </w:p>
        </w:tc>
      </w:tr>
      <w:tr>
        <w:tc>
          <w:tcPr>
            <w:tcW w:type="dxa" w:w="2121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aps w:val="false"/>
                <w:color w:val="16202B"/>
                <w:sz w:val="19"/>
                <w:szCs w:val="19"/>
              </w:rPr>
              <w:t xml:space="preserve">Правила СУР и ВК № 86</w:t>
            </w:r>
          </w:p>
        </w:tc>
        <w:tc>
          <w:tcPr>
            <w:tcW w:type="dxa" w:w="4434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АРРФР от 28.04.2026 № 86, рег. № 38586</w:t>
            </w:r>
          </w:p>
        </w:tc>
        <w:tc>
          <w:tcPr>
            <w:tcW w:type="dxa" w:w="3085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риск-аппетит, ВПОДК; обязанность БРМ по СРП и триггерам (п. 34 пп. 5, 6)</w:t>
            </w:r>
          </w:p>
        </w:tc>
      </w:tr>
      <w:tr>
        <w:tc>
          <w:tcPr>
            <w:tcW w:type="dxa" w:w="2121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aps w:val="false"/>
                <w:color w:val="16202B"/>
                <w:sz w:val="19"/>
                <w:szCs w:val="19"/>
              </w:rPr>
              <w:t xml:space="preserve">Значения признаков ухудшения № 119</w:t>
            </w:r>
          </w:p>
        </w:tc>
        <w:tc>
          <w:tcPr>
            <w:tcW w:type="dxa" w:w="4434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АРРФР от 07.08.2026 № 119, рег. № 39529 от 10.08.2026; вводится по истечении 10 календарных дней после первого официального опубликования (п. 4) — точную дату опубликования сверить</w:t>
            </w:r>
          </w:p>
        </w:tc>
        <w:tc>
          <w:tcPr>
            <w:tcW w:type="dxa" w:w="3085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пороговые значения входа в режимы, включая счётчик шести месяцев по доле кредитов 3 стадии (раздел 4)</w:t>
            </w:r>
          </w:p>
        </w:tc>
      </w:tr>
      <w:tr>
        <w:tc>
          <w:tcPr>
            <w:tcW w:type="dxa" w:w="2121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aps w:val="false"/>
                <w:color w:val="16202B"/>
                <w:sz w:val="19"/>
                <w:szCs w:val="19"/>
              </w:rPr>
              <w:t xml:space="preserve">Правила провизий № 61</w:t>
            </w:r>
          </w:p>
        </w:tc>
        <w:tc>
          <w:tcPr>
            <w:tcW w:type="dxa" w:w="4434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АРРФР от 29.09.2025 № 61, рег. № 36994</w:t>
            </w:r>
          </w:p>
        </w:tc>
        <w:tc>
          <w:tcPr>
            <w:tcW w:type="dxa" w:w="3085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критерии обесценения — периметр НЗ и кредитов 3 стадии</w:t>
            </w:r>
          </w:p>
        </w:tc>
      </w:tr>
      <w:tr>
        <w:tc>
          <w:tcPr>
            <w:tcW w:type="dxa" w:w="2121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aps w:val="false"/>
                <w:color w:val="16202B"/>
                <w:sz w:val="19"/>
                <w:szCs w:val="19"/>
              </w:rPr>
              <w:t xml:space="preserve">Правила системной значимости</w:t>
            </w:r>
          </w:p>
        </w:tc>
        <w:tc>
          <w:tcPr>
            <w:tcW w:type="dxa" w:w="4434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НБ РК от 23.12.2019 № 240, рег. № 19925</w:t>
            </w:r>
          </w:p>
        </w:tc>
        <w:tc>
          <w:tcPr>
            <w:tcW w:type="dxa" w:w="3085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статус Банка — открытый вопрос; влияет на стресс-тест фактора 98-1 (№ 85, п. 108)</w:t>
            </w:r>
          </w:p>
        </w:tc>
      </w:tr>
      <w:tr>
        <w:tc>
          <w:tcPr>
            <w:tcW w:type="dxa" w:w="2121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aps w:val="false"/>
                <w:color w:val="16202B"/>
                <w:sz w:val="19"/>
                <w:szCs w:val="19"/>
              </w:rPr>
              <w:t xml:space="preserve">Макропруденциальные нормативы</w:t>
            </w:r>
          </w:p>
        </w:tc>
        <w:tc>
          <w:tcPr>
            <w:tcW w:type="dxa" w:w="4434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НБ РК от 25.08.2025 № 52, рег. № 36722 (в ред. от 11.03.2026)</w:t>
            </w:r>
          </w:p>
        </w:tc>
        <w:tc>
          <w:tcPr>
            <w:tcW w:type="dxa" w:w="3085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макролимиты, входящие в признак ст. 85 п. 2 пп. 1 Закона</w:t>
            </w:r>
          </w:p>
        </w:tc>
      </w:tr>
      <w:tr>
        <w:tc>
          <w:tcPr>
            <w:tcW w:type="dxa" w:w="2121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aps w:val="false"/>
                <w:color w:val="16202B"/>
                <w:sz w:val="19"/>
                <w:szCs w:val="19"/>
              </w:rPr>
              <w:t xml:space="preserve">Правила применения мер надзорного реагирования</w:t>
            </w:r>
          </w:p>
        </w:tc>
        <w:tc>
          <w:tcPr>
            <w:tcW w:type="dxa" w:w="4434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НБ РК от 29.10.2018 № 272, рег. № 17789 (действующая редакция с изменениями АРРФР от 20.04.2026 № 79 под новый Закон)</w:t>
            </w:r>
          </w:p>
        </w:tc>
        <w:tc>
          <w:tcPr>
            <w:tcW w:type="dxa" w:w="3085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процедура предписаний и планов мероприятий по ст. 80: рассмотрение плана ≤ 10 рабочих дней (+ 10 при замечаниях или более 20 мероприятий, п. 14); мера в силе с даты направления (п. 6); сведения о применённых мерах, кроме рекомендательных,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публикуются на сайте регулятора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 (п. 5)</w:t>
            </w:r>
          </w:p>
        </w:tc>
      </w:tr>
      <w:tr>
        <w:tc>
          <w:tcPr>
            <w:tcW w:type="dxa" w:w="2121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aps w:val="false"/>
                <w:color w:val="16202B"/>
                <w:sz w:val="19"/>
                <w:szCs w:val="19"/>
              </w:rPr>
              <w:t xml:space="preserve">Требования к плану восстановления</w:t>
            </w:r>
          </w:p>
        </w:tc>
        <w:tc>
          <w:tcPr>
            <w:tcW w:type="dxa" w:w="4434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АРРФР от 27.07.2026 № 108, рег. № 39435 от 29.07.2026</w:t>
            </w:r>
          </w:p>
        </w:tc>
        <w:tc>
          <w:tcPr>
            <w:tcW w:type="dxa" w:w="3085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состав плана восстановления (оценка состояния, ранние сигналы по приложению 1, меры по капиталу и ликвидности, порядок действий); представление до 30 апреля за отчётный год, актуализация в 30 календарных дней при существенных изменениях (п. 7); уведомление о замечаниях ≤ 30 календарных дней, доработка ≤ 15 дней (пп. 8, 9); срок реализации ≤ 12 месяцев (п. 5)</w:t>
            </w:r>
          </w:p>
        </w:tc>
      </w:tr>
      <w:tr>
        <w:tc>
          <w:tcPr>
            <w:tcW w:type="dxa" w:w="2121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aps w:val="false"/>
                <w:color w:val="16202B"/>
                <w:sz w:val="19"/>
                <w:szCs w:val="19"/>
              </w:rPr>
              <w:t xml:space="preserve">Закон о поправках № 306-VIII</w:t>
            </w:r>
          </w:p>
        </w:tc>
        <w:tc>
          <w:tcPr>
            <w:tcW w:type="dxa" w:w="4434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от 11.06.2026 № 306-VIII ЗРК; в действии с 01.07.2026, отдельные абзацы п. 77 — с 01.01.2027</w:t>
            </w:r>
          </w:p>
        </w:tc>
        <w:tc>
          <w:tcPr>
            <w:tcW w:type="dxa" w:w="3085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поправки в Закон о банках (ст. 1 п. 77) — терминологические («иностранцы» → «иностранные граждане», «тенге» → «теңге» и т.п.) плюс банковская тайна для органов соцзащиты (ст. 69, с 01.01.2027).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Статьи 72, 78–92 нашего периметра не затрагиваются</w:t>
            </w:r>
          </w:p>
        </w:tc>
      </w:tr>
    </w:tbl>
    <w:p>
      <w:pPr>
        <w:spacing w:after="220" w:before="80"/>
      </w:pPr>
      <w:r>
        <w:rPr>
          <w:rFonts w:ascii="Times New Roman" w:cs="Times New Roman" w:eastAsia="Times New Roman" w:hAnsi="Times New Roman"/>
          <w:i/>
          <w:iCs/>
          <w:color w:val="5B6B7A"/>
          <w:sz w:val="16"/>
          <w:szCs w:val="16"/>
        </w:rPr>
        <w:t xml:space="preserve">Реквизиты — по текстам документов; № 73 от 20.04.2026 (рег. № 38502, нормативы филиалов банков-нерезидентов) упомянут в № 119 и к Банку не применяется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c>
          <w:tcPr>
            <w:tcW w:type="dxa" w:w="9640"/>
            <w:tcBorders>
              <w:top w:val="none" w:color="FFFFFF" w:sz="0"/>
              <w:left w:val="single" w:color="1C5B57" w:sz="18"/>
              <w:bottom w:val="none" w:color="FFFFFF" w:sz="0"/>
              <w:right w:val="none" w:color="FFFFFF" w:sz="0"/>
            </w:tcBorders>
            <w:shd w:fill="F2F7F6" w:color="auto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color w:val="1C5B57"/>
                <w:spacing w:val="24"/>
                <w:sz w:val="15"/>
                <w:szCs w:val="15"/>
              </w:rPr>
              <w:t xml:space="preserve">ПОЛНОТА ПЕРИМЕТРА</w:t>
            </w:r>
          </w:p>
          <w:p>
            <w:r>
              <w:rPr>
                <w:rFonts w:ascii="Times New Roman" w:cs="Times New Roman" w:eastAsia="Times New Roman" w:hAnsi="Times New Roman"/>
                <w:color w:val="16202B"/>
                <w:sz w:val="19"/>
                <w:szCs w:val="19"/>
              </w:rPr>
              <w:t xml:space="preserve">Все акты, отсутствовавшие в предыдущей версии записки (правила применения мер надзорного реагирования, требования к плану восстановления, текст поправок № 306-VIII), получены и разобраны 19.08.2026 — открытых позиций в нормативном периметре записки нет. Практическое различие двух «планов мероприятий»: план по главе 11 Нормативов № 85 (наш случай) — не мера надзорного реагирования и публикации не подлежит; план по предписанию ст. 80 — мера, сведения о которой размещаются на сайте регулятора (№ 272, п. 5). Довести ситуацию до предписания — значит сделать её публичной.</w:t>
            </w:r>
          </w:p>
        </w:tc>
      </w:tr>
    </w:tbl>
    <w:p>
      <w:pPr>
        <w:spacing w:after="180"/>
      </w:pPr>
    </w:p>
    <w:p>
      <w:pPr>
        <w:pStyle w:val="Heading1"/>
        <w:pBdr>
          <w:bottom w:val="single" w:color="16202B" w:sz="12" w:space="6"/>
        </w:pBdr>
        <w:spacing w:after="160" w:before="360"/>
      </w:pPr>
      <w:r>
        <w:rPr>
          <w:rFonts w:ascii="Times New Roman" w:cs="Times New Roman" w:eastAsia="Times New Roman" w:hAnsi="Times New Roman"/>
          <w:b/>
          <w:bCs/>
          <w:color w:val="16202B"/>
          <w:sz w:val="28"/>
          <w:szCs w:val="28"/>
        </w:rPr>
        <w:t xml:space="preserve">3. Лимит 98-3 и срок превышения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21"/>
        <w:gridCol w:w="4434"/>
        <w:gridCol w:w="3085"/>
      </w:tblGrid>
      <w:tr>
        <w:trPr>
          <w:tblHeader/>
        </w:trPr>
        <w:tc>
          <w:tcPr>
            <w:tcW w:type="dxa" w:w="2121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shd w:fill="EE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aps/>
                <w:color w:val="5B6B7A"/>
                <w:sz w:val="17"/>
                <w:szCs w:val="17"/>
              </w:rPr>
              <w:t xml:space="preserve">Норма</w:t>
            </w:r>
          </w:p>
        </w:tc>
        <w:tc>
          <w:tcPr>
            <w:tcW w:type="dxa" w:w="4434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shd w:fill="EE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aps/>
                <w:color w:val="5B6B7A"/>
                <w:sz w:val="17"/>
                <w:szCs w:val="17"/>
              </w:rPr>
              <w:t xml:space="preserve">Цитата (сокращённо)</w:t>
            </w:r>
          </w:p>
        </w:tc>
        <w:tc>
          <w:tcPr>
            <w:tcW w:type="dxa" w:w="3085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shd w:fill="EE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aps/>
                <w:color w:val="5B6B7A"/>
                <w:sz w:val="17"/>
                <w:szCs w:val="17"/>
              </w:rPr>
              <w:t xml:space="preserve">Следствие</w:t>
            </w:r>
          </w:p>
        </w:tc>
      </w:tr>
      <w:tr>
        <w:tc>
          <w:tcPr>
            <w:tcW w:type="dxa" w:w="2121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aps w:val="false"/>
                <w:color w:val="16202B"/>
                <w:sz w:val="19"/>
                <w:szCs w:val="19"/>
              </w:rPr>
              <w:t xml:space="preserve">№ 85, п. 98 ч. 1 пп. 3; п. 107 пп. 3</w:t>
            </w:r>
          </w:p>
        </w:tc>
        <w:tc>
          <w:tcPr>
            <w:tcW w:type="dxa" w:w="4434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«превышение отношения неработающих займов к общему объему ссудного портфеля банка»; триггер «НЗ/СП ≥ 10 %»</w:t>
            </w:r>
          </w:p>
        </w:tc>
        <w:tc>
          <w:tcPr>
            <w:tcW w:type="dxa" w:w="3085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наш лимит; НЗ — займы с признаками обесценения по МСФО и Правилам № 61 плюс POCI, расчёт gross (п. 98 ч. 2)</w:t>
            </w:r>
          </w:p>
        </w:tc>
      </w:tr>
      <w:tr>
        <w:tc>
          <w:tcPr>
            <w:tcW w:type="dxa" w:w="2121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aps w:val="false"/>
                <w:color w:val="16202B"/>
                <w:sz w:val="19"/>
                <w:szCs w:val="19"/>
              </w:rPr>
              <w:t xml:space="preserve">№ 85, п. 104 пп. 2</w:t>
            </w:r>
          </w:p>
        </w:tc>
        <w:tc>
          <w:tcPr>
            <w:tcW w:type="dxa" w:w="4434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«снижение… до уровня менее 10 (десяти) процентов»</w:t>
            </w:r>
          </w:p>
        </w:tc>
        <w:tc>
          <w:tcPr>
            <w:tcW w:type="dxa" w:w="3085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цель плана; предельный срок возврата главой 11 не установлен</w:t>
            </w:r>
          </w:p>
        </w:tc>
      </w:tr>
      <w:tr>
        <w:tc>
          <w:tcPr>
            <w:tcW w:type="dxa" w:w="2121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aps w:val="false"/>
                <w:color w:val="16202B"/>
                <w:sz w:val="19"/>
                <w:szCs w:val="19"/>
              </w:rPr>
              <w:t xml:space="preserve">№ 85, п. 106</w:t>
            </w:r>
          </w:p>
        </w:tc>
        <w:tc>
          <w:tcPr>
            <w:tcW w:type="dxa" w:w="4434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«ежемесячно на базе данных отчетности осуществляет анализ»</w:t>
            </w:r>
          </w:p>
        </w:tc>
        <w:tc>
          <w:tcPr>
            <w:tcW w:type="dxa" w:w="3085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АРРФР видит превышение каждый месяц</w:t>
            </w:r>
          </w:p>
        </w:tc>
      </w:tr>
      <w:tr>
        <w:tc>
          <w:tcPr>
            <w:tcW w:type="dxa" w:w="2121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aps w:val="false"/>
                <w:color w:val="16202B"/>
                <w:sz w:val="19"/>
                <w:szCs w:val="19"/>
              </w:rPr>
              <w:t xml:space="preserve">Закон, ст. 80 п. 5</w:t>
            </w:r>
          </w:p>
        </w:tc>
        <w:tc>
          <w:tcPr>
            <w:tcW w:type="dxa" w:w="4434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«обязаны уведомить… об исполнении мер… в сроки, предусмотренные данными документами»</w:t>
            </w:r>
          </w:p>
        </w:tc>
        <w:tc>
          <w:tcPr>
            <w:tcW w:type="dxa" w:w="3085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срок, заявленный в плане, — обязательство</w:t>
            </w:r>
          </w:p>
        </w:tc>
      </w:tr>
      <w:tr>
        <w:tc>
          <w:tcPr>
            <w:tcW w:type="dxa" w:w="2121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aps w:val="false"/>
                <w:color w:val="16202B"/>
                <w:sz w:val="19"/>
                <w:szCs w:val="19"/>
              </w:rPr>
              <w:t xml:space="preserve">Закон, ст. 80 п. 6</w:t>
            </w:r>
          </w:p>
        </w:tc>
        <w:tc>
          <w:tcPr>
            <w:tcW w:type="dxa" w:w="4434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«…по причинам, не зависящим от банка… может быть продлен до даты, установленной уполномоченным органом»</w:t>
            </w:r>
          </w:p>
        </w:tc>
        <w:tc>
          <w:tcPr>
            <w:tcW w:type="dxa" w:w="3085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продление только по внешним причинам</w:t>
            </w:r>
          </w:p>
        </w:tc>
      </w:tr>
      <w:tr>
        <w:tc>
          <w:tcPr>
            <w:tcW w:type="dxa" w:w="2121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aps w:val="false"/>
                <w:color w:val="16202B"/>
                <w:sz w:val="19"/>
                <w:szCs w:val="19"/>
              </w:rPr>
              <w:t xml:space="preserve">Закон, ст. 78 п. 3 пп. 3</w:t>
            </w:r>
          </w:p>
        </w:tc>
        <w:tc>
          <w:tcPr>
            <w:tcW w:type="dxa" w:w="4434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«учитываются… систематичность и продолжительность нарушений»</w:t>
            </w:r>
          </w:p>
        </w:tc>
        <w:tc>
          <w:tcPr>
            <w:tcW w:type="dxa" w:w="3085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длительность — фактор ужесточения мер</w:t>
            </w:r>
          </w:p>
        </w:tc>
      </w:tr>
    </w:tbl>
    <w:p>
      <w:pPr>
        <w:spacing w:after="220" w:before="80"/>
      </w:pPr>
      <w:r>
        <w:rPr>
          <w:rFonts w:ascii="Times New Roman" w:cs="Times New Roman" w:eastAsia="Times New Roman" w:hAnsi="Times New Roman"/>
          <w:i/>
          <w:iCs/>
          <w:color w:val="5B6B7A"/>
          <w:sz w:val="16"/>
          <w:szCs w:val="16"/>
        </w:rPr>
        <w:t xml:space="preserve">Нормативы № 85, глава 11; Закон № 258-VIII (ред. 25.08.2026)</w:t>
      </w:r>
    </w:p>
    <w:p>
      <w:pPr>
        <w:spacing w:after="140" w:line="300"/>
        <w:jc w:val="both"/>
      </w:pPr>
      <w:r>
        <w:rPr>
          <w:rFonts w:ascii="Times New Roman" w:cs="Times New Roman" w:eastAsia="Times New Roman" w:hAnsi="Times New Roman"/>
          <w:color w:val="16202B"/>
          <w:sz w:val="21"/>
          <w:szCs w:val="21"/>
        </w:rPr>
        <w:t xml:space="preserve">Нормы вида «нарушение лимита N месяцев влечёт…» в главе 11 нет: срок возврата задаёт сам банк в плане. Такая норма есть в постановлении № 119 — раздел 4.</w:t>
      </w:r>
    </w:p>
    <w:p>
      <w:pPr>
        <w:pStyle w:val="Heading1"/>
        <w:pBdr>
          <w:bottom w:val="single" w:color="16202B" w:sz="12" w:space="6"/>
        </w:pBdr>
        <w:spacing w:after="160" w:before="360"/>
      </w:pPr>
      <w:r>
        <w:rPr>
          <w:rFonts w:ascii="Times New Roman" w:cs="Times New Roman" w:eastAsia="Times New Roman" w:hAnsi="Times New Roman"/>
          <w:b/>
          <w:bCs/>
          <w:color w:val="16202B"/>
          <w:sz w:val="28"/>
          <w:szCs w:val="28"/>
        </w:rPr>
        <w:t xml:space="preserve">4. Счётчик шести месяцев (№ 119) и развилка по провизиям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c>
          <w:tcPr>
            <w:tcW w:type="dxa" w:w="9640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shd w:fill="F5F7F9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16202B"/>
                <w:sz w:val="17"/>
                <w:szCs w:val="17"/>
              </w:rPr>
              <w:t xml:space="preserve">ДС3 = (кредиты 3 стадии + ПСКО) / ссудный портфель        (№ 119, п. 7 пп. 1)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16202B"/>
                <w:sz w:val="17"/>
                <w:szCs w:val="17"/>
              </w:rPr>
              <w:t xml:space="preserve">КПП = провизии 3 стадии / (кредиты 3 стадии + ПСКО)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16202B"/>
                <w:sz w:val="17"/>
                <w:szCs w:val="17"/>
              </w:rPr>
              <w:t xml:space="preserve"/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16202B"/>
                <w:sz w:val="17"/>
                <w:szCs w:val="17"/>
              </w:rPr>
              <w:t xml:space="preserve">«Признак считается наступившим, если в течение 6 (шести)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16202B"/>
                <w:sz w:val="17"/>
                <w:szCs w:val="17"/>
              </w:rPr>
              <w:t xml:space="preserve">последовательных отчетных месяцев одновременно выполняются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16202B"/>
                <w:sz w:val="17"/>
                <w:szCs w:val="17"/>
              </w:rPr>
              <w:t xml:space="preserve">следующие условия…: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16202B"/>
                <w:sz w:val="17"/>
                <w:szCs w:val="17"/>
              </w:rPr>
              <w:t xml:space="preserve">  ДС3m ≥ 10% и КППm &lt; 40% — для режима усиленного надзора;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16202B"/>
                <w:sz w:val="17"/>
                <w:szCs w:val="17"/>
              </w:rPr>
              <w:t xml:space="preserve">  ДС3m ≥ 15% и КППm &lt; 40% — для режима восстановления…»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16202B"/>
                <w:sz w:val="17"/>
                <w:szCs w:val="17"/>
              </w:rPr>
              <w:t xml:space="preserve">                                          (№ 119, п. 7 пп. 2)</w:t>
            </w:r>
          </w:p>
        </w:tc>
      </w:tr>
    </w:tbl>
    <w:p>
      <w:pPr>
        <w:spacing w:after="160"/>
      </w:pPr>
    </w:p>
    <w:p>
      <w:pPr>
        <w:pStyle w:val="ListParagraph"/>
        <w:numPr>
          <w:ilvl w:val="0"/>
          <w:numId w:val="2"/>
        </w:numPr>
        <w:spacing w:after="110" w:line="290"/>
        <w:jc w:val="both"/>
      </w:pPr>
      <w:r>
        <w:rPr>
          <w:rFonts w:ascii="Times New Roman" w:cs="Times New Roman" w:eastAsia="Times New Roman" w:hAnsi="Times New Roman"/>
          <w:color w:val="16202B"/>
          <w:sz w:val="21"/>
          <w:szCs w:val="21"/>
        </w:rPr>
        <w:t xml:space="preserve">Показатель — </w:t>
      </w:r>
      <w:r>
        <w:rPr>
          <w:rFonts w:ascii="Times New Roman" w:cs="Times New Roman" w:eastAsia="Times New Roman" w:hAnsi="Times New Roman"/>
          <w:b/>
          <w:bCs/>
          <w:color w:val="16202B"/>
          <w:sz w:val="21"/>
          <w:szCs w:val="21"/>
        </w:rPr>
        <w:t xml:space="preserve">основной</w:t>
      </w:r>
      <w:r>
        <w:rPr>
          <w:rFonts w:ascii="Times New Roman" w:cs="Times New Roman" w:eastAsia="Times New Roman" w:hAnsi="Times New Roman"/>
          <w:color w:val="16202B"/>
          <w:sz w:val="21"/>
          <w:szCs w:val="21"/>
        </w:rPr>
        <w:t xml:space="preserve">, мониторинг </w:t>
      </w:r>
      <w:r>
        <w:rPr>
          <w:rFonts w:ascii="Times New Roman" w:cs="Times New Roman" w:eastAsia="Times New Roman" w:hAnsi="Times New Roman"/>
          <w:b/>
          <w:bCs/>
          <w:color w:val="16202B"/>
          <w:sz w:val="21"/>
          <w:szCs w:val="21"/>
        </w:rPr>
        <w:t xml:space="preserve">ежемесячный</w:t>
      </w:r>
      <w:r>
        <w:rPr>
          <w:rFonts w:ascii="Times New Roman" w:cs="Times New Roman" w:eastAsia="Times New Roman" w:hAnsi="Times New Roman"/>
          <w:color w:val="16202B"/>
          <w:sz w:val="21"/>
          <w:szCs w:val="21"/>
        </w:rPr>
        <w:t xml:space="preserve"> (№ 119, приложение 2, строка 3); «отклонение… одного основного… показателя… является основанием для применения… режима» (№ 119, п. 5).</w:t>
      </w:r>
    </w:p>
    <w:p>
      <w:pPr>
        <w:pStyle w:val="ListParagraph"/>
        <w:numPr>
          <w:ilvl w:val="0"/>
          <w:numId w:val="2"/>
        </w:numPr>
        <w:spacing w:after="110" w:line="290"/>
        <w:jc w:val="both"/>
      </w:pPr>
      <w:r>
        <w:rPr>
          <w:rFonts w:ascii="Times New Roman" w:cs="Times New Roman" w:eastAsia="Times New Roman" w:hAnsi="Times New Roman"/>
          <w:color w:val="16202B"/>
          <w:sz w:val="21"/>
          <w:szCs w:val="21"/>
        </w:rPr>
        <w:t xml:space="preserve">Разовые пороги (приложение 1, строки 8, 10): ДС3 ≥ 15 % при КПП &lt; 40 % — усиленный надзор, ДС3 ≥ 20 % при КПП &lt; 40 % — восстановление; мгновенный рост ДС3 за месяц на 4–6 п.п. и свыше 6 п.п. — соответственно.</w:t>
      </w:r>
    </w:p>
    <w:p>
      <w:pPr>
        <w:pStyle w:val="ListParagraph"/>
        <w:numPr>
          <w:ilvl w:val="0"/>
          <w:numId w:val="2"/>
        </w:numPr>
        <w:spacing w:after="110" w:line="290"/>
        <w:jc w:val="both"/>
      </w:pPr>
      <w:r>
        <w:rPr>
          <w:rFonts w:ascii="Times New Roman" w:cs="Times New Roman" w:eastAsia="Times New Roman" w:hAnsi="Times New Roman"/>
          <w:b/>
          <w:bCs/>
          <w:color w:val="16202B"/>
          <w:sz w:val="21"/>
          <w:szCs w:val="21"/>
        </w:rPr>
        <w:t xml:space="preserve">Сопоставление автора (подтвердить с методологами провизий):</w:t>
      </w:r>
      <w:r>
        <w:rPr>
          <w:rFonts w:ascii="Times New Roman" w:cs="Times New Roman" w:eastAsia="Times New Roman" w:hAnsi="Times New Roman"/>
          <w:color w:val="16202B"/>
          <w:sz w:val="21"/>
          <w:szCs w:val="21"/>
        </w:rPr>
        <w:t xml:space="preserve"> периметр ДС3 по определениям № 119 совпадает с периметром НЗ лимита 98-3 — обе величины строятся на кредитно-обесцененных активах по критериям № 61 плюс ПСКО, gross.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c>
          <w:tcPr>
            <w:tcW w:type="dxa" w:w="9640"/>
            <w:tcBorders>
              <w:top w:val="none" w:color="FFFFFF" w:sz="0"/>
              <w:left w:val="single" w:color="A8492F" w:sz="18"/>
              <w:bottom w:val="none" w:color="FFFFFF" w:sz="0"/>
              <w:right w:val="none" w:color="FFFFFF" w:sz="0"/>
            </w:tcBorders>
            <w:shd w:fill="FBF3F0" w:color="auto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color w:val="A8492F"/>
                <w:spacing w:val="24"/>
                <w:sz w:val="15"/>
                <w:szCs w:val="15"/>
              </w:rPr>
              <w:t xml:space="preserve">ДЕДЛАЙН</w:t>
            </w:r>
          </w:p>
          <w:p>
            <w:r>
              <w:rPr>
                <w:rFonts w:ascii="Times New Roman" w:cs="Times New Roman" w:eastAsia="Times New Roman" w:hAnsi="Times New Roman"/>
                <w:color w:val="16202B"/>
                <w:sz w:val="19"/>
                <w:szCs w:val="19"/>
              </w:rPr>
              <w:t xml:space="preserve">Превышение 10 % держится около трёх месяцев; план отводит ещё около трёх. Если КПП в эти месяцы ниже 40 %, шестой месяц с ДС3 ≥ 10 % закрывает счётчик признака — к плановой дате возврата. Счётчик разрывается, если хотя бы один месяц окна даёт ДС3 &lt; 10 % </w:t>
            </w:r>
            <w:r>
              <w:rPr>
                <w:rFonts w:ascii="Times New Roman" w:cs="Times New Roman" w:eastAsia="Times New Roman" w:hAnsi="Times New Roman"/>
                <w:b/>
                <w:bCs/>
                <w:color w:val="16202B"/>
                <w:sz w:val="19"/>
                <w:szCs w:val="19"/>
              </w:rPr>
              <w:t xml:space="preserve">или</w:t>
            </w:r>
            <w:r>
              <w:rPr>
                <w:rFonts w:ascii="Times New Roman" w:cs="Times New Roman" w:eastAsia="Times New Roman" w:hAnsi="Times New Roman"/>
                <w:color w:val="16202B"/>
                <w:sz w:val="19"/>
                <w:szCs w:val="19"/>
              </w:rPr>
              <w:t xml:space="preserve"> КПП ≥ 40 %. При КПП ≥ 40 % во всех месяцах признак не собирается вовсе. Первое число к расчёту — КПП помесячно за период превышения.</w:t>
            </w:r>
          </w:p>
        </w:tc>
      </w:tr>
    </w:tbl>
    <w:p>
      <w:pPr>
        <w:spacing w:after="180"/>
      </w:pPr>
    </w:p>
    <w:p>
      <w:r>
        <w:br w:type="page"/>
      </w:r>
    </w:p>
    <w:p>
      <w:pPr>
        <w:pStyle w:val="Heading1"/>
        <w:pBdr>
          <w:bottom w:val="single" w:color="16202B" w:sz="12" w:space="6"/>
        </w:pBdr>
        <w:spacing w:after="160" w:before="360"/>
      </w:pPr>
      <w:r>
        <w:rPr>
          <w:rFonts w:ascii="Times New Roman" w:cs="Times New Roman" w:eastAsia="Times New Roman" w:hAnsi="Times New Roman"/>
          <w:b/>
          <w:bCs/>
          <w:color w:val="16202B"/>
          <w:sz w:val="28"/>
          <w:szCs w:val="28"/>
        </w:rPr>
        <w:t xml:space="preserve">5. Режим усиленного надзора (ст. 87 Закона)</w:t>
      </w:r>
    </w:p>
    <w:p>
      <w:pPr>
        <w:spacing w:after="140" w:line="300"/>
        <w:jc w:val="both"/>
      </w:pPr>
      <w:r>
        <w:rPr>
          <w:rFonts w:ascii="Times New Roman" w:cs="Times New Roman" w:eastAsia="Times New Roman" w:hAnsi="Times New Roman"/>
          <w:b/>
          <w:bCs/>
          <w:color w:val="16202B"/>
          <w:sz w:val="21"/>
          <w:szCs w:val="21"/>
        </w:rPr>
        <w:t xml:space="preserve">Что это.</w:t>
      </w:r>
      <w:r>
        <w:rPr>
          <w:rFonts w:ascii="Times New Roman" w:cs="Times New Roman" w:eastAsia="Times New Roman" w:hAnsi="Times New Roman"/>
          <w:color w:val="16202B"/>
          <w:sz w:val="21"/>
          <w:szCs w:val="21"/>
        </w:rPr>
        <w:t xml:space="preserve"> «Под режимом усиленного надзора понимается особый порядок надзора, применяемый к банку по решению уполномоченного органа с целью предотвращения ухудшения финансовой устойчивости банка» (ст. 87 п. 1). Управление остаётся у банка; решение о введении доводится банку в течение трёх рабочих дней и «не подлежит распространению (разглашению)» (п. 4).</w:t>
      </w:r>
    </w:p>
    <w:p>
      <w:pPr>
        <w:spacing w:after="140" w:line="300"/>
        <w:jc w:val="both"/>
      </w:pPr>
      <w:r>
        <w:rPr>
          <w:rFonts w:ascii="Times New Roman" w:cs="Times New Roman" w:eastAsia="Times New Roman" w:hAnsi="Times New Roman"/>
          <w:b/>
          <w:bCs/>
          <w:color w:val="16202B"/>
          <w:sz w:val="21"/>
          <w:szCs w:val="21"/>
        </w:rPr>
        <w:t xml:space="preserve">Что влечёт</w:t>
      </w:r>
      <w:r>
        <w:rPr>
          <w:rFonts w:ascii="Times New Roman" w:cs="Times New Roman" w:eastAsia="Times New Roman" w:hAnsi="Times New Roman"/>
          <w:color w:val="16202B"/>
          <w:sz w:val="21"/>
          <w:szCs w:val="21"/>
        </w:rPr>
        <w:t xml:space="preserve"> (п. 2, в дополнение к мерам ст. 78, в форме письменного предписания): отчётность с индивидуальной периодичностью*; оценка финансового и имущественного состояния «c посещением банка и (или) привлечением оценщиков, аудиторских и (или) иных специализированных организаций, услуги которых оплачиваются (возмещаются) за счет средств банка» (пп. 2); анализ устойчивости к неблагоприятным макроусловиям; требование актуализации плана восстановления; требование мер вплоть до увеличения собственного капитала (пп. 5); приостановление отдельных операций и сделок (пп. 6, 7); улучшение корпоративного управления и СУР (пп. 8). Банк обязан «принять меры, необходимые (достаточные) для устранения причин» (п. 5).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c>
          <w:tcPr>
            <w:tcW w:type="dxa" w:w="9640"/>
            <w:tcBorders>
              <w:top w:val="none" w:color="FFFFFF" w:sz="0"/>
              <w:left w:val="single" w:color="1C5B57" w:sz="18"/>
              <w:bottom w:val="none" w:color="FFFFFF" w:sz="0"/>
              <w:right w:val="none" w:color="FFFFFF" w:sz="0"/>
            </w:tcBorders>
            <w:shd w:fill="F2F7F6" w:color="auto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color w:val="1C5B57"/>
                <w:spacing w:val="24"/>
                <w:sz w:val="15"/>
                <w:szCs w:val="15"/>
              </w:rPr>
              <w:t xml:space="preserve">ВЫХОД ИЗ РЕЖИМА</w:t>
            </w:r>
          </w:p>
          <w:p>
            <w:r>
              <w:rPr>
                <w:rFonts w:ascii="Times New Roman" w:cs="Times New Roman" w:eastAsia="Times New Roman" w:hAnsi="Times New Roman"/>
                <w:color w:val="16202B"/>
                <w:sz w:val="19"/>
                <w:szCs w:val="19"/>
              </w:rPr>
              <w:t xml:space="preserve">«Режим усиленного надзора прекращается по решению уполномоченного органа при устранении оснований его применения и соблюдении банком в течение шести последовательных календарных месяцев коэффициентов достаточности собственного капитала и иных пруденциальных нормативов и лимитов…, а также макропруденциальных нормативов и лимитов…» (ст. 87 п. 6). Максимальный срок нахождения в режиме законом не установлен; минимальная длительность фактически — шесть месяцев чистого соблюдения после устранения оснований.</w:t>
            </w:r>
          </w:p>
        </w:tc>
      </w:tr>
    </w:tbl>
    <w:p>
      <w:pPr>
        <w:spacing w:after="180"/>
      </w:pPr>
    </w:p>
    <w:p>
      <w:pPr>
        <w:pStyle w:val="Heading1"/>
        <w:pBdr>
          <w:bottom w:val="single" w:color="16202B" w:sz="12" w:space="6"/>
        </w:pBdr>
        <w:spacing w:after="160" w:before="360"/>
      </w:pPr>
      <w:r>
        <w:rPr>
          <w:rFonts w:ascii="Times New Roman" w:cs="Times New Roman" w:eastAsia="Times New Roman" w:hAnsi="Times New Roman"/>
          <w:b/>
          <w:bCs/>
          <w:color w:val="16202B"/>
          <w:sz w:val="28"/>
          <w:szCs w:val="28"/>
        </w:rPr>
        <w:t xml:space="preserve">6. Режим восстановления финансовой устойчивости (ст. 88–89)</w:t>
      </w:r>
    </w:p>
    <w:p>
      <w:pPr>
        <w:spacing w:after="140" w:line="300"/>
        <w:jc w:val="both"/>
      </w:pPr>
      <w:r>
        <w:rPr>
          <w:rFonts w:ascii="Times New Roman" w:cs="Times New Roman" w:eastAsia="Times New Roman" w:hAnsi="Times New Roman"/>
          <w:b/>
          <w:bCs/>
          <w:color w:val="16202B"/>
          <w:sz w:val="21"/>
          <w:szCs w:val="21"/>
        </w:rPr>
        <w:t xml:space="preserve">Что это.</w:t>
      </w:r>
      <w:r>
        <w:rPr>
          <w:rFonts w:ascii="Times New Roman" w:cs="Times New Roman" w:eastAsia="Times New Roman" w:hAnsi="Times New Roman"/>
          <w:color w:val="16202B"/>
          <w:sz w:val="21"/>
          <w:szCs w:val="21"/>
        </w:rPr>
        <w:t xml:space="preserve"> «Комплекс мер, осуществляемых по решению уполномоченного органа банком, крупными участниками банка, банковскими холдингами с целью восстановления финансовой устойчивости банка…, а также предотвращения применения к банку режима урегулирования или принудительной ликвидации» (ст. 89 п. 1). Ступень тяжелее усиленного надзора: часть последствий наступает автоматически с даты решения.</w:t>
      </w:r>
    </w:p>
    <w:p>
      <w:pPr>
        <w:pStyle w:val="ListParagraph"/>
        <w:numPr>
          <w:ilvl w:val="0"/>
          <w:numId w:val="2"/>
        </w:numPr>
        <w:spacing w:after="110" w:line="290"/>
        <w:jc w:val="both"/>
      </w:pPr>
      <w:r>
        <w:rPr>
          <w:rFonts w:ascii="Times New Roman" w:cs="Times New Roman" w:eastAsia="Times New Roman" w:hAnsi="Times New Roman"/>
          <w:b/>
          <w:bCs/>
          <w:color w:val="16202B"/>
          <w:sz w:val="21"/>
          <w:szCs w:val="21"/>
        </w:rPr>
        <w:t xml:space="preserve">Автоматически с даты решения (п. 5):</w:t>
      </w:r>
      <w:r>
        <w:rPr>
          <w:rFonts w:ascii="Times New Roman" w:cs="Times New Roman" w:eastAsia="Times New Roman" w:hAnsi="Times New Roman"/>
          <w:color w:val="16202B"/>
          <w:sz w:val="21"/>
          <w:szCs w:val="21"/>
        </w:rPr>
        <w:t xml:space="preserve"> банк «приостанавливает принятие решений, а также исполнение ранее принятых решений о распределении прибыли, выплате дивидендов, выполнении любых финансовых обязательств перед крупными участниками…, а также выплате вознаграждений руководящим работникам банка, за исключением выплаты заработной платы (кроме премий…)»; акционеры без статуса крупного участника лишаются права голоса на общем собрании.</w:t>
      </w:r>
    </w:p>
    <w:p>
      <w:pPr>
        <w:pStyle w:val="ListParagraph"/>
        <w:numPr>
          <w:ilvl w:val="0"/>
          <w:numId w:val="2"/>
        </w:numPr>
        <w:spacing w:after="110" w:line="290"/>
        <w:jc w:val="both"/>
      </w:pPr>
      <w:r>
        <w:rPr>
          <w:rFonts w:ascii="Times New Roman" w:cs="Times New Roman" w:eastAsia="Times New Roman" w:hAnsi="Times New Roman"/>
          <w:b/>
          <w:bCs/>
          <w:color w:val="16202B"/>
          <w:sz w:val="21"/>
          <w:szCs w:val="21"/>
        </w:rPr>
        <w:t xml:space="preserve">Пять рабочих дней</w:t>
      </w:r>
      <w:r>
        <w:rPr>
          <w:rFonts w:ascii="Times New Roman" w:cs="Times New Roman" w:eastAsia="Times New Roman" w:hAnsi="Times New Roman"/>
          <w:color w:val="16202B"/>
          <w:sz w:val="21"/>
          <w:szCs w:val="21"/>
        </w:rPr>
        <w:t xml:space="preserve"> на представление актуализированного плана восстановления на одобрение уполномоченного органа (п. 6); после одобрения — незамедлительное исполнение.</w:t>
      </w:r>
    </w:p>
    <w:p>
      <w:pPr>
        <w:pStyle w:val="ListParagraph"/>
        <w:numPr>
          <w:ilvl w:val="0"/>
          <w:numId w:val="2"/>
        </w:numPr>
        <w:spacing w:after="110" w:line="290"/>
        <w:jc w:val="both"/>
      </w:pPr>
      <w:r>
        <w:rPr>
          <w:rFonts w:ascii="Times New Roman" w:cs="Times New Roman" w:eastAsia="Times New Roman" w:hAnsi="Times New Roman"/>
          <w:b/>
          <w:bCs/>
          <w:color w:val="16202B"/>
          <w:sz w:val="21"/>
          <w:szCs w:val="21"/>
        </w:rPr>
        <w:t xml:space="preserve">Полномочия регулятора (п. 2):</w:t>
      </w:r>
      <w:r>
        <w:rPr>
          <w:rFonts w:ascii="Times New Roman" w:cs="Times New Roman" w:eastAsia="Times New Roman" w:hAnsi="Times New Roman"/>
          <w:color w:val="16202B"/>
          <w:sz w:val="21"/>
          <w:szCs w:val="21"/>
        </w:rPr>
        <w:t xml:space="preserve"> все полномочия усиленного надзора плюс требования по изменению структуры активов (включая продажу), «внесения изменений в организационную структуру банка, включая замену руководящих работников» (пп. 3), особый порядок отдельных операций вплоть до предварительного согласования сделок (пп. 4).</w:t>
      </w:r>
    </w:p>
    <w:p>
      <w:pPr>
        <w:pStyle w:val="ListParagraph"/>
        <w:numPr>
          <w:ilvl w:val="0"/>
          <w:numId w:val="2"/>
        </w:numPr>
        <w:spacing w:after="110" w:line="290"/>
        <w:jc w:val="both"/>
      </w:pPr>
      <w:r>
        <w:rPr>
          <w:rFonts w:ascii="Times New Roman" w:cs="Times New Roman" w:eastAsia="Times New Roman" w:hAnsi="Times New Roman"/>
          <w:b/>
          <w:bCs/>
          <w:color w:val="16202B"/>
          <w:sz w:val="21"/>
          <w:szCs w:val="21"/>
        </w:rPr>
        <w:t xml:space="preserve">Эскалация внутри режима:</w:t>
      </w:r>
      <w:r>
        <w:rPr>
          <w:rFonts w:ascii="Times New Roman" w:cs="Times New Roman" w:eastAsia="Times New Roman" w:hAnsi="Times New Roman"/>
          <w:color w:val="16202B"/>
          <w:sz w:val="21"/>
          <w:szCs w:val="21"/>
        </w:rPr>
        <w:t xml:space="preserve"> при неисполнении плана — меры ст. 78 (п. 7) и право назначить временную администрацию (п. 9); сделки банка за три года до режима могут оспариваться как недействительные (п. 10).</w:t>
      </w:r>
    </w:p>
    <w:p>
      <w:pPr>
        <w:pStyle w:val="ListParagraph"/>
        <w:numPr>
          <w:ilvl w:val="0"/>
          <w:numId w:val="2"/>
        </w:numPr>
        <w:spacing w:after="110" w:line="290"/>
        <w:jc w:val="both"/>
      </w:pPr>
      <w:r>
        <w:rPr>
          <w:rFonts w:ascii="Times New Roman" w:cs="Times New Roman" w:eastAsia="Times New Roman" w:hAnsi="Times New Roman"/>
          <w:b/>
          <w:bCs/>
          <w:color w:val="16202B"/>
          <w:sz w:val="21"/>
          <w:szCs w:val="21"/>
        </w:rPr>
        <w:t xml:space="preserve">Рамки плана восстановления (ст. 88 п. 4):</w:t>
      </w:r>
      <w:r>
        <w:rPr>
          <w:rFonts w:ascii="Times New Roman" w:cs="Times New Roman" w:eastAsia="Times New Roman" w:hAnsi="Times New Roman"/>
          <w:color w:val="16202B"/>
          <w:sz w:val="21"/>
          <w:szCs w:val="21"/>
        </w:rPr>
        <w:t xml:space="preserve"> «не должен предусматривать использование государственных средств… и не может предусматривать срок реализации, превышающий двенадцать месяцев»; план обязателен для банка постоянно и актуализируется не реже раза в год (ст. 88 п. 3).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c>
          <w:tcPr>
            <w:tcW w:type="dxa" w:w="9640"/>
            <w:tcBorders>
              <w:top w:val="none" w:color="FFFFFF" w:sz="0"/>
              <w:left w:val="single" w:color="1C5B57" w:sz="18"/>
              <w:bottom w:val="none" w:color="FFFFFF" w:sz="0"/>
              <w:right w:val="none" w:color="FFFFFF" w:sz="0"/>
            </w:tcBorders>
            <w:shd w:fill="F2F7F6" w:color="auto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color w:val="1C5B57"/>
                <w:spacing w:val="24"/>
                <w:sz w:val="15"/>
                <w:szCs w:val="15"/>
              </w:rPr>
              <w:t xml:space="preserve">ВЫХОД ИЗ РЕЖИМА</w:t>
            </w:r>
          </w:p>
          <w:p>
            <w:r>
              <w:rPr>
                <w:rFonts w:ascii="Times New Roman" w:cs="Times New Roman" w:eastAsia="Times New Roman" w:hAnsi="Times New Roman"/>
                <w:color w:val="16202B"/>
                <w:sz w:val="19"/>
                <w:szCs w:val="19"/>
              </w:rPr>
              <w:t xml:space="preserve">Формула та же, что у усиленного надзора: «прекращается по решению уполномоченного органа при устранении оснований его применения и соблюдении банком в течение шести последовательных календарных месяцев… нормативов и лимитов» (ст. 89 п. 11). Максимальный срок нахождения не установлен; фактический минимум — шесть месяцев чистого соблюдения.</w:t>
            </w:r>
          </w:p>
        </w:tc>
      </w:tr>
    </w:tbl>
    <w:p>
      <w:pPr>
        <w:spacing w:after="180"/>
      </w:pPr>
    </w:p>
    <w:p>
      <w:pPr>
        <w:pStyle w:val="Heading1"/>
        <w:pBdr>
          <w:bottom w:val="single" w:color="16202B" w:sz="12" w:space="6"/>
        </w:pBdr>
        <w:spacing w:after="160" w:before="360"/>
      </w:pPr>
      <w:r>
        <w:rPr>
          <w:rFonts w:ascii="Times New Roman" w:cs="Times New Roman" w:eastAsia="Times New Roman" w:hAnsi="Times New Roman"/>
          <w:b/>
          <w:bCs/>
          <w:color w:val="16202B"/>
          <w:sz w:val="28"/>
          <w:szCs w:val="28"/>
        </w:rPr>
        <w:t xml:space="preserve">7. Сценарии из текущего статуса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21"/>
        <w:gridCol w:w="4434"/>
        <w:gridCol w:w="3085"/>
      </w:tblGrid>
      <w:tr>
        <w:trPr>
          <w:tblHeader/>
        </w:trPr>
        <w:tc>
          <w:tcPr>
            <w:tcW w:type="dxa" w:w="2121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shd w:fill="EE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aps/>
                <w:color w:val="5B6B7A"/>
                <w:sz w:val="17"/>
                <w:szCs w:val="17"/>
              </w:rPr>
              <w:t xml:space="preserve">Сценарий</w:t>
            </w:r>
          </w:p>
        </w:tc>
        <w:tc>
          <w:tcPr>
            <w:tcW w:type="dxa" w:w="4434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shd w:fill="EE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aps/>
                <w:color w:val="5B6B7A"/>
                <w:sz w:val="17"/>
                <w:szCs w:val="17"/>
              </w:rPr>
              <w:t xml:space="preserve">Квалификация</w:t>
            </w:r>
          </w:p>
        </w:tc>
        <w:tc>
          <w:tcPr>
            <w:tcW w:type="dxa" w:w="3085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shd w:fill="EE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aps/>
                <w:color w:val="5B6B7A"/>
                <w:sz w:val="17"/>
                <w:szCs w:val="17"/>
              </w:rPr>
              <w:t xml:space="preserve">Последствия</w:t>
            </w:r>
          </w:p>
        </w:tc>
      </w:tr>
      <w:tr>
        <w:tc>
          <w:tcPr>
            <w:tcW w:type="dxa" w:w="2121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aps w:val="false"/>
                <w:color w:val="16202B"/>
                <w:sz w:val="19"/>
                <w:szCs w:val="19"/>
              </w:rPr>
              <w:t xml:space="preserve">А.</w:t>
            </w:r>
            <w:r>
              <w:rPr>
                <w:rFonts w:ascii="Times New Roman" w:cs="Times New Roman" w:eastAsia="Times New Roman" w:hAnsi="Times New Roman"/>
                <w:b/>
                <w:bCs/>
                <w:caps w:val="false"/>
                <w:color w:val="16202B"/>
                <w:sz w:val="19"/>
                <w:szCs w:val="19"/>
              </w:rPr>
              <w:t xml:space="preserve"> План представлен в срок, исполняется; возврат под 10 % по графику; КПП ≥ 40 % либо счётчик № 119 разорван</w:t>
            </w:r>
          </w:p>
        </w:tc>
        <w:tc>
          <w:tcPr>
            <w:tcW w:type="dxa" w:w="4434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превышение — не нарушение (№ 85, п. 99 ч. 3)</w:t>
            </w:r>
          </w:p>
        </w:tc>
        <w:tc>
          <w:tcPr>
            <w:tcW w:type="dxa" w:w="3085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эпизод закрывается ежемесячной отчётностью (п. 106)</w:t>
            </w:r>
          </w:p>
        </w:tc>
      </w:tr>
      <w:tr>
        <w:tc>
          <w:tcPr>
            <w:tcW w:type="dxa" w:w="2121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aps w:val="false"/>
                <w:color w:val="16202B"/>
                <w:sz w:val="19"/>
                <w:szCs w:val="19"/>
              </w:rPr>
              <w:t xml:space="preserve">Б.</w:t>
            </w:r>
            <w:r>
              <w:rPr>
                <w:rFonts w:ascii="Times New Roman" w:cs="Times New Roman" w:eastAsia="Times New Roman" w:hAnsi="Times New Roman"/>
                <w:b/>
                <w:bCs/>
                <w:caps w:val="false"/>
                <w:color w:val="16202B"/>
                <w:sz w:val="19"/>
                <w:szCs w:val="19"/>
              </w:rPr>
              <w:t xml:space="preserve"> План представлен, но срок сорван</w:t>
            </w:r>
          </w:p>
        </w:tc>
        <w:tc>
          <w:tcPr>
            <w:tcW w:type="dxa" w:w="4434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невыполнение меры надзорного реагирования (ст. 78 п. 2 пп. 7); качественный признак «неисполнение мер по ст. 80» (№ 119, п. 16 пп. 6)</w:t>
            </w:r>
          </w:p>
        </w:tc>
        <w:tc>
          <w:tcPr>
            <w:tcW w:type="dxa" w:w="3085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основание для режима восстановления, минуя усиленный надзор; меры ст. 80–81</w:t>
            </w:r>
          </w:p>
        </w:tc>
      </w:tr>
      <w:tr>
        <w:tc>
          <w:tcPr>
            <w:tcW w:type="dxa" w:w="2121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aps w:val="false"/>
                <w:color w:val="16202B"/>
                <w:sz w:val="19"/>
                <w:szCs w:val="19"/>
              </w:rPr>
              <w:t xml:space="preserve">В.</w:t>
            </w:r>
            <w:r>
              <w:rPr>
                <w:rFonts w:ascii="Times New Roman" w:cs="Times New Roman" w:eastAsia="Times New Roman" w:hAnsi="Times New Roman"/>
                <w:b/>
                <w:bCs/>
                <w:caps w:val="false"/>
                <w:color w:val="16202B"/>
                <w:sz w:val="19"/>
                <w:szCs w:val="19"/>
              </w:rPr>
              <w:t xml:space="preserve"> План не представлен или подан с пропуском 5 рабочих дней</w:t>
            </w:r>
          </w:p>
        </w:tc>
        <w:tc>
          <w:tcPr>
            <w:tcW w:type="dxa" w:w="4434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каждое месячное превышение — нарушение лимита; длительность — отягчающий фактор (ст. 78 п. 3 пп. 3)</w:t>
            </w:r>
          </w:p>
        </w:tc>
        <w:tc>
          <w:tcPr>
            <w:tcW w:type="dxa" w:w="3085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меры ст. 78–80; вход в признак ст. 85 п. 2 пп. 1</w:t>
            </w:r>
          </w:p>
        </w:tc>
      </w:tr>
      <w:tr>
        <w:tc>
          <w:tcPr>
            <w:tcW w:type="dxa" w:w="2121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aps w:val="false"/>
                <w:color w:val="16202B"/>
                <w:sz w:val="19"/>
                <w:szCs w:val="19"/>
              </w:rPr>
              <w:t xml:space="preserve">Г.</w:t>
            </w:r>
            <w:r>
              <w:rPr>
                <w:rFonts w:ascii="Times New Roman" w:cs="Times New Roman" w:eastAsia="Times New Roman" w:hAnsi="Times New Roman"/>
                <w:b/>
                <w:bCs/>
                <w:caps w:val="false"/>
                <w:color w:val="16202B"/>
                <w:sz w:val="19"/>
                <w:szCs w:val="19"/>
              </w:rPr>
              <w:t xml:space="preserve"> Шестой месяц ДС3 ≥ 10 % при КПП &lt; 40 % (либо разово 15 %, либо рост 4+ п.п. за месяц)</w:t>
            </w:r>
          </w:p>
        </w:tc>
        <w:tc>
          <w:tcPr>
            <w:tcW w:type="dxa" w:w="4434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основной количественный признак (№ 119, п. 7, прил. 1 стр. 8–10)</w:t>
            </w:r>
          </w:p>
        </w:tc>
        <w:tc>
          <w:tcPr>
            <w:tcW w:type="dxa" w:w="3085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основание усиленного надзора (раздел 5); при 15 % шесть месяцев или 20 % разово — режима восстановления (раздел 6)</w:t>
            </w:r>
          </w:p>
        </w:tc>
      </w:tr>
    </w:tbl>
    <w:p>
      <w:pPr>
        <w:spacing w:after="220" w:before="80"/>
      </w:pPr>
      <w:r>
        <w:rPr>
          <w:rFonts w:ascii="Times New Roman" w:cs="Times New Roman" w:eastAsia="Times New Roman" w:hAnsi="Times New Roman"/>
          <w:i/>
          <w:iCs/>
          <w:color w:val="5B6B7A"/>
          <w:sz w:val="16"/>
          <w:szCs w:val="16"/>
        </w:rPr>
        <w:t xml:space="preserve">Квалификация — дословно по цитированным нормам; выбор сценария определяется фактами разделов 1 и 4</w:t>
      </w:r>
    </w:p>
    <w:p>
      <w:pPr>
        <w:pStyle w:val="Heading1"/>
        <w:pBdr>
          <w:bottom w:val="single" w:color="16202B" w:sz="12" w:space="6"/>
        </w:pBdr>
        <w:spacing w:after="160" w:before="360"/>
      </w:pPr>
      <w:r>
        <w:rPr>
          <w:rFonts w:ascii="Times New Roman" w:cs="Times New Roman" w:eastAsia="Times New Roman" w:hAnsi="Times New Roman"/>
          <w:b/>
          <w:bCs/>
          <w:color w:val="16202B"/>
          <w:sz w:val="28"/>
          <w:szCs w:val="28"/>
        </w:rPr>
        <w:t xml:space="preserve">8. Предлагаемые шаги</w:t>
      </w:r>
    </w:p>
    <w:p>
      <w:pPr>
        <w:pStyle w:val="ListParagraph"/>
        <w:numPr>
          <w:ilvl w:val="0"/>
          <w:numId w:val="2"/>
        </w:numPr>
        <w:spacing w:after="110" w:line="290"/>
        <w:jc w:val="both"/>
      </w:pPr>
      <w:r>
        <w:rPr>
          <w:rFonts w:ascii="Times New Roman" w:cs="Times New Roman" w:eastAsia="Times New Roman" w:hAnsi="Times New Roman"/>
          <w:color w:val="16202B"/>
          <w:sz w:val="21"/>
          <w:szCs w:val="21"/>
        </w:rPr>
        <w:t xml:space="preserve">Зафиксировать письменно дату выявления и дату представления плана; если план не представлен — представить незамедлительно (щит п. 99 включается представлением).</w:t>
      </w:r>
    </w:p>
    <w:p>
      <w:pPr>
        <w:pStyle w:val="ListParagraph"/>
        <w:numPr>
          <w:ilvl w:val="0"/>
          <w:numId w:val="2"/>
        </w:numPr>
        <w:spacing w:after="110" w:line="290"/>
        <w:jc w:val="both"/>
      </w:pPr>
      <w:r>
        <w:rPr>
          <w:rFonts w:ascii="Times New Roman" w:cs="Times New Roman" w:eastAsia="Times New Roman" w:hAnsi="Times New Roman"/>
          <w:color w:val="16202B"/>
          <w:sz w:val="21"/>
          <w:szCs w:val="21"/>
        </w:rPr>
        <w:t xml:space="preserve">Рассчитать КПП помесячно за период превышения; при КПП &lt; 40 % — рассмотреть доформирование провизий до ≥ 40 % в ближайший отчётный месяц и (или) ускорение возврата доли под 10 % на один месяц против плана. Оба варианта дословно соответствуют цели п. 104 пп. 2 и разрывают счётчик № 119.</w:t>
      </w:r>
    </w:p>
    <w:p>
      <w:pPr>
        <w:pStyle w:val="ListParagraph"/>
        <w:numPr>
          <w:ilvl w:val="0"/>
          <w:numId w:val="2"/>
        </w:numPr>
        <w:spacing w:after="110" w:line="290"/>
        <w:jc w:val="both"/>
      </w:pPr>
      <w:r>
        <w:rPr>
          <w:rFonts w:ascii="Times New Roman" w:cs="Times New Roman" w:eastAsia="Times New Roman" w:hAnsi="Times New Roman"/>
          <w:color w:val="16202B"/>
          <w:sz w:val="21"/>
          <w:szCs w:val="21"/>
        </w:rPr>
        <w:t xml:space="preserve">Вести собственный ежемесячный расчёт НЗ/СП и КПП с опережением цикла п. 106; отклонение от траектории плана — повод инициировать его корректировку через процедуру замечаний (№ 85, п. 100) до наступления срыва.</w:t>
      </w:r>
    </w:p>
    <w:p>
      <w:pPr>
        <w:pStyle w:val="ListParagraph"/>
        <w:numPr>
          <w:ilvl w:val="0"/>
          <w:numId w:val="2"/>
        </w:numPr>
        <w:spacing w:after="110" w:line="290"/>
        <w:jc w:val="both"/>
      </w:pPr>
      <w:r>
        <w:rPr>
          <w:rFonts w:ascii="Times New Roman" w:cs="Times New Roman" w:eastAsia="Times New Roman" w:hAnsi="Times New Roman"/>
          <w:color w:val="16202B"/>
          <w:sz w:val="21"/>
          <w:szCs w:val="21"/>
        </w:rPr>
        <w:t xml:space="preserve">Проверить план восстановления финансовой устойчивости на соответствие № 108 (рег. № 39435): представление до 30 апреля за отчётный год, ранние сигналы по приложению 1, срок реализации ≤ 12 месяцев — в усиленном надзоре его актуализацию вправе потребовать регулятор (ст. 87 п. 2 пп. 4), а её отсутствие — самостоятельный признак ухудшения (ст. 85 п. 2 пп. 5).</w:t>
      </w:r>
    </w:p>
    <w:p>
      <w:pPr>
        <w:pStyle w:val="ListParagraph"/>
        <w:numPr>
          <w:ilvl w:val="0"/>
          <w:numId w:val="2"/>
        </w:numPr>
        <w:spacing w:after="110" w:line="290"/>
        <w:jc w:val="both"/>
      </w:pPr>
      <w:r>
        <w:rPr>
          <w:rFonts w:ascii="Times New Roman" w:cs="Times New Roman" w:eastAsia="Times New Roman" w:hAnsi="Times New Roman"/>
          <w:color w:val="16202B"/>
          <w:sz w:val="21"/>
          <w:szCs w:val="21"/>
        </w:rPr>
        <w:t xml:space="preserve">Подтвердить у методологов провизий сопоставление периметров ДС3 (№ 119) и НЗ (№ 85) — раздел 4.</w:t>
      </w:r>
    </w:p>
    <w:p>
      <w:pPr>
        <w:pStyle w:val="Heading1"/>
        <w:pBdr>
          <w:bottom w:val="single" w:color="16202B" w:sz="12" w:space="6"/>
        </w:pBdr>
        <w:spacing w:after="160" w:before="360"/>
      </w:pPr>
      <w:r>
        <w:rPr>
          <w:rFonts w:ascii="Times New Roman" w:cs="Times New Roman" w:eastAsia="Times New Roman" w:hAnsi="Times New Roman"/>
          <w:b/>
          <w:bCs/>
          <w:color w:val="16202B"/>
          <w:sz w:val="28"/>
          <w:szCs w:val="28"/>
        </w:rPr>
        <w:t xml:space="preserve">9. Пометка *: изменения с 1 января 2027 года</w:t>
      </w:r>
    </w:p>
    <w:p>
      <w:pPr>
        <w:pStyle w:val="ListParagraph"/>
        <w:numPr>
          <w:ilvl w:val="0"/>
          <w:numId w:val="2"/>
        </w:numPr>
        <w:spacing w:after="110" w:line="290"/>
        <w:jc w:val="both"/>
      </w:pPr>
      <w:r>
        <w:rPr>
          <w:rFonts w:ascii="Times New Roman" w:cs="Times New Roman" w:eastAsia="Times New Roman" w:hAnsi="Times New Roman"/>
          <w:color w:val="16202B"/>
          <w:sz w:val="21"/>
          <w:szCs w:val="21"/>
        </w:rPr>
        <w:t xml:space="preserve">ст. 87 п. 2 пп. 1: до 01.01.2027 — «получать информацию, финансовую и иную отчетность с индивидуально определенной периодичностью» (редакция ст. 135 п. 3 пп. 2); с 01.01.2027 — дополнительно «посредством витрины данных».</w:t>
      </w:r>
    </w:p>
    <w:p>
      <w:pPr>
        <w:pStyle w:val="ListParagraph"/>
        <w:numPr>
          <w:ilvl w:val="0"/>
          <w:numId w:val="2"/>
        </w:numPr>
        <w:spacing w:after="110" w:line="290"/>
        <w:jc w:val="both"/>
      </w:pPr>
      <w:r>
        <w:rPr>
          <w:rFonts w:ascii="Times New Roman" w:cs="Times New Roman" w:eastAsia="Times New Roman" w:hAnsi="Times New Roman"/>
          <w:color w:val="16202B"/>
          <w:sz w:val="21"/>
          <w:szCs w:val="21"/>
        </w:rPr>
        <w:t xml:space="preserve">ст. 78 п. 2 пп. 11–12: до 01.01.2027 — редакция про банковского омбудсмана (ст. 135 п. 3 пп. 2); к кейсу 98-3 не относится.</w:t>
      </w:r>
    </w:p>
    <w:p>
      <w:pPr>
        <w:pStyle w:val="ListParagraph"/>
        <w:numPr>
          <w:ilvl w:val="0"/>
          <w:numId w:val="2"/>
        </w:numPr>
        <w:spacing w:after="110" w:line="290"/>
        <w:jc w:val="both"/>
      </w:pPr>
      <w:r>
        <w:rPr>
          <w:rFonts w:ascii="Times New Roman" w:cs="Times New Roman" w:eastAsia="Times New Roman" w:hAnsi="Times New Roman"/>
          <w:color w:val="16202B"/>
          <w:sz w:val="21"/>
          <w:szCs w:val="21"/>
        </w:rPr>
        <w:t xml:space="preserve">Закон № 306-VIII от 11.06.2026: текст получен и разобран — поправки в Закон о банках терминологические, с 01.01.2027 вступают только абзацы п. 77 по ст. 69 (банковская тайна для органов соцзащиты). </w:t>
      </w:r>
      <w:r>
        <w:rPr>
          <w:rFonts w:ascii="Times New Roman" w:cs="Times New Roman" w:eastAsia="Times New Roman" w:hAnsi="Times New Roman"/>
          <w:b/>
          <w:bCs/>
          <w:color w:val="16202B"/>
          <w:sz w:val="21"/>
          <w:szCs w:val="21"/>
        </w:rPr>
        <w:t xml:space="preserve">Статьи нашего периметра (72, 78–92) не затрагиваются; горизонт плана изменениями 2027 года не затрагивается.</w:t>
      </w:r>
    </w:p>
    <w:sectPr>
      <w:pgSz w:w="11906" w:h="16838" w:orient="portrait"/>
      <w:pgMar w:top="1133" w:right="1133" w:bottom="1133" w:left="113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40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2026-08-19T10:52:07.362Z</dcterms:created>
  <dcterms:modified xsi:type="dcterms:W3CDTF">2026-08-19T10:52:07.363Z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