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Глава 11 Нормативов № 85: лимиты в целях минимизации рисков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Полный разбор пп. 98–108 применительно к периметру БРМ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0.3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Постановление Правления АРРФР от 28.04.2026 № 85 устанавливает главой 11 восемь лимитов в целях минимизации рисков банков (п. 3 ст. 72 Закона о банках). Пять из восьми — кредитные и относятся к периметру БРМ. Формулы в исходном документе вставлены изображениями; здесь они перепечатаны и перед официальным цитированием подлежат сверке с зарегистрированной редакцией.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1. Восемь лимитов п. 98 и распределение ответственности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пп.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Периметр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Владелец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по основному долгу и (или) вознаграждению свыше 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займов с просрочкой 61–90 дней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неработающих займов к ссудному портфелю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весь портфель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увеличение доли неработающей дебиторской задолженности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дебиторка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5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коэффициента рентабельности активов (ROA)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банк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6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отношения среднемесячных операций РЕПО к обязательствам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казначейство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вне 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7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потребзаймов 90+ в общей сумме потребзаймов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8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доля заёмщиков с потреб-90+ в общем числе потребзаёмщиков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потребкредиты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п. 98, часть первая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Определения (п. 98, часть вторая)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Займы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выданные банкам и организациям, осуществляющим отдельные виды банковских операций, физическим лицам (включая ИП), юридическим лицам (включая МСБ),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операции «обратное РЕПО»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Расчёт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gross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: без счетов дисконтов и премий, корректировок и провизий, сформированных по МСФО.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Неработающие займы (НЗ)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займы с признаками обесценения по критериям МСФО и Правил № 61 (от 29.09.2025, рег. № 36994)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плюс POCI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. По существу — Stage 3 + POCI, gross.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заём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(для лимитов 7 и 8) — не ипотечный, физическому лицу, на цели вне предпринимательской деятельности, балансовые и внебалансовые счета.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2. Триггеры (п. 107) и целевые уровни (п. 104)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Лимит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Триггер по п. 107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Целевой уровень по п. 104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строгий рост семи последовательных месячных точек (ЗП90₆ &gt; ЗП90₅ &gt; … &gt; ЗП90₀) или прирост ≥ 5 % за период без монотонности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 же две конструкции по ряду ЗП61-90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≤ 10 % (пп. 1)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на конец периода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снижение до уровня менее 10 % (пп. 2)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рост доли шесть месяцев подряд или ≥ 5 п.п. за период; не применяется при росте из-за снижения совокупной дебиторки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≤ 50 % (пп. 3)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98-5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ниже 0,2 % два и более раза за 6 месяцев; применяется только при k1 ≤ 0,10 или k2 ≤ 0,13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ROA ≥ 0,2 % (пп. 4)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98-6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отношение среднемесячных РЕПО к среднемесячным обязательствам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35 % с 01.01.2026; &lt; 25 % с 01.07.2026 (пп. 5)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98-7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Ккпз = НПЛпз / Спз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суммы потребзаймов (пп. 6)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98-8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Ккзнбпз = КЗнпз / КЗобщ × 100 % ≥ 10 %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10 % числа потребзаёмщиков (пп. 7; о дефекте формулировки — раздел 6)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104, 107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К СВЕДЕНИЮ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 98-5 (ROA) применяется только к банку с k1 ≤ 10 % или k2 ≤ 13 % (п. 107 пп. 6, часть последняя). При k1 = 19,9 % и k2 = 22,9 % (форма 50 на 01.07.2026) ворота не пройдены — лимит ROA к Банку сейчас неприменим.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3. Негативное влияние на качество портфеля (п. 105)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Смысл: если динамика последних шести месяцев по лимитам 98-1/98-2 продолжится двенадцать месяцев, пробьёт ли НЗ/СП уровень 10 %. Механика — линейная экстраполяция удвоением полугодового прироста. Индексация: точка 0 — начало окна (шесть месяцев назад), точка 6 — конец отчётного месяца.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98-1 (рост 90+); экстраполируется только компонента 90+, а «не-90+» часть НЗ держится константой: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ЗП90₁₂ = (ЗП90₆ − ЗП90₀) × 2 + ЗП90₆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[ЗП90₁₂ + (НЗ₆ − ЗП90₆)] / СП₁₂  ≥  10 %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98-2 (миграция 61–90 в 90+):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F5F7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ЗП61-90₁₂ = (ЗП61-90₆ − ЗП61-90₀) × 2 + ЗП61-90₆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СП₁₂     = (СП₆ − СП₀) × 2 + СП₆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6202B"/>
                <w:sz w:val="17"/>
                <w:szCs w:val="17"/>
              </w:rPr>
              <w:t xml:space="preserve">негативное влияние:  (ЗП90₆ + ЗП61-90₁₂) / СП₁₂  ≥  10 %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СЛЕДСТВИЕ ДЛЯ БРМ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Лимиты 98-1 и 98-2 — опережающие индикаторы 98-3, встроенные самим регулятором. Ежемесячный мониторинг этих двух рядов — готовая система раннего предупреждения по НЗ/СП; разработка СРП и триггеров — прямая обязанность подразделения по управлению рисками (п. 34 пп. 5, 6 Правил № 86).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4. Процедура при превышении (пп. 99–103)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Шаг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Выявление регулятором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выявляет превышение уровней п. 104 — банк и (или) акционеры, банковский холдинг, крупные участники разрабатывают и представляют план мероприятий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Самостоятельное выявление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представляется в течение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5 рабочих дней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 со дня выявления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99, часть третья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представленном плане превышение не рассматривается как нарушение лимита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Согласование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99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АРРФР согласует план в течение 10 рабочих дней со дня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Замечания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100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 несогласии — письменные замечания и (или) совместные обсуждения; банк корректирует план в указанные сроки либо представляет письменные обоснования несогласия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Одобрение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письменное одобрение или неодобрение в срок до 30 рабочих дней с даты представления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Освобождение от плана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98-1/98-2 — при отсутствии негативного влияния по п. 105 и отсутствии сработки 98-3, либо при сработке 98-3 (всё сворачивается в один план); по 98-1 и 98-5 — если превышение выявлено ежегодным стресс-тестированием по сценариям АРРФР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11, пп. 99–103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Обязательный состав плана (п. 99, часть вторая, «не ограничиваясь»)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детальный анализ Лимита;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прогноз Лимита, обоснование прогноза и негативные влияния на деятельность банка;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меры по улучшению — доведение до уровня, не представляющего угрозу и не создающего дополнительных рисков;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для 98-3 — мероприятия по каждому отчётному периоду, в том числе в разрезе физических и юридических лиц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(обязательный разрез);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сроки исполнения по каждому пункту плана;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перечень руководящих работников, ответственных за исполнение по каждому пункту плана.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5. Мониторинг и стресс-тестирование (пп. 106, 108)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106: АРРФР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анализирует деятельность банка по отчётности для определения лимитов. Внутренний расчёт должен опережать регуляторный цикл, а не догонять его.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П. 108: для банков из списков системно значимых и потенциально системно значимых (Постановление НБ РК № 240) факторы 98-1 и 98-5 дополняются сценариями АРРФР: сценарии — до 1 февраля, стресс-тест и представление результатов — до 1 апреля. Статус Банка — открытый вопрос (Г12 контура risk_appetite).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6. Дефекты текста главы (Н1–Н4)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Наблюдения по тексту предоставленной редакции; перед официальной перепиской сверить с зарегистрированной редакцией. Практическое следствие: в плане мероприятий ссылаться на пункты по смыслу, не воспроизводя битые перекрёстные ссылки дословно.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Код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Место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Наблюдение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Н1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103 пп. 1; п. 104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«подпункты 1) и 2) части первой пункта 99» — у п. 99 подпунктов нет; по смыслу — п. 98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Н2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102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ссылка на «план мероприятий, предусмотренный частью второй пункта 98» — состав плана установлен частью второй п. 99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Н3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104 пп. 7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метрика по количеству заёмщиков доводится «до уровня менее 10 % от общей суммы потребительских займов» — знаменатель перенесён из пп. 6 копированием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Н4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п. 107 пп. 1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текст: рост «на 5 и более процентных пунктов»; формула — относительный прирост ≥ 5 %; в пп. 2 та же конструкция названа «процентов»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Нормативы № 85 от 28.04.2026 (рег. № 38587), глава 11 · сверка текста и формул выполнена 18.08.2026</w:t>
      </w: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7. Лестница эскалации: глава 11 → раздел 6 Закона № 258-VIII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Новый Закон о банках (№ 258-VIII от 16.01.2026, в силе с 19.03.2026) устанавливает разделом 6 три антикризисных режима. Сверено с полным текстом закона (редакция на 25.08.2026). Ниже — как лимит 98-3 встроен в эту лестницу.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Ступень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Норма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Что происходит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0. Штатный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глава 11 Нормативов № 85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≥ 10 % при представленном плане мероприятий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превышение «не рассматривается как нарушение» (п. 99)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1. Признаки ухудшения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85 Закона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шесть категорий признаков; значения — НПА АРРФР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регулятор выбирает режим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2. Усиленный надзор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87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решению АРРФР, цель — предотвратить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девять полномочий сверх мер ст. 78; решение конфиденциально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3. Восстановление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88–89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существенное ухудшение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план восстановления ≤ 12 месяцев, без госсредств; плюс требования к структуре активов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4. Урегулирование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ст. 90–95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неплатежеспособность или её угроза (оценка жизнеспособности, ст. 91)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временная администрация, инструменты урегулирования, принудительная продажа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Закон РК № 258-VIII от 16.01.2026, раздел 6 · сверка 19.08.2026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Признаки ухудшения (ст. 85 п. 2)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снижение значений пруденциальных нормативов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и лимитов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(капитал, ликвидность, макропруденциальные лимиты НБ РК);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денежных обязательств перед депозиторами и кредиторами из-за отсутствия или недостаточности денег;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факты (сделки), достоверное отражение которых в отчётности может привести к нарушению коэффициентов капитала или неисполнению обязательств;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недостатки и (или) риски, выявленные надзором;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неисполнение плана восстановления финансовой устойчивости;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иные признаки по НПА уполномоченного органа. Значения утверждены постановлением АРРФР от 07.08.2026 № 119 (рег. № 39529): 26 количественных показателей шести категорий (капитал, кредитный риск, ликвидность, валютный риск, прибыльность, рейтинги) плюс качественные признаки; кредитный блок — таблица ниже.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Пороговые значения кредитного риска (№ 119, приложение 1)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8"/>
        <w:gridCol w:w="3662"/>
        <w:gridCol w:w="1350"/>
        <w:gridCol w:w="1350"/>
      </w:tblGrid>
      <w:tr>
        <w:trPr>
          <w:tblHeader/>
        </w:trP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Тип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Усиленный надзор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Восстановление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Доля кредитов 3 стадии и ПСКО (ДС3), разово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15 % при КПП &lt; 40 %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20 % при КПП &lt; 40 %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ДС3 шесть последовательных месяцев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основной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10 % при КПП &lt; 40 % (оба условия все 6 мес.)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≥ 15 % при КПП &lt; 40 %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Мгновенный рост ДС3 за месяц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+4…+6 п.п.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свыше +6 п.п.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Уплаченное/начисленное вознаграждение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75 %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&lt; 60 %</w:t>
            </w:r>
          </w:p>
        </w:tc>
      </w:tr>
      <w:tr>
        <w:tc>
          <w:tcPr>
            <w:tcW w:type="dxa" w:w="32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Топ-20 к основному капиталу</w:t>
            </w:r>
          </w:p>
        </w:tc>
        <w:tc>
          <w:tcPr>
            <w:tcW w:type="dxa" w:w="366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вспомогательный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&gt; 200 % при доле стадии 3 в топ-20 &gt; 10 %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АРРФР № 119 от 07.08.2026 (рег. № 39529), приложения 1 и 2; ДС3 = (кредиты 3 стадии + ПСКО)/ссудный портфель gross, КПП = провизии 3 стадии/(кредиты 3 стадии + ПСКО). Отклонение одного основного показателя — достаточное основание режима (п. 5); мониторинг ежемесячный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Качественные признаки № 119: для усиленного надзора — существенные недостатки корпоративного управления и СУР, искажения отчётности, иные надзорные находки (п. 15); </w:t>
      </w: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неисполнение мер по ст. 80 Закона, включая план мероприятий, — основание сразу для режима восстановления (п. 16 пп. 6)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; неисполнение или неэффективность плана восстановления — для урегулирования (п. 17 пп. 7).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Полномочия АРРФР в режиме усиленного надзора (ст. 87 п. 2)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Сверх обычных мер надзорного реагирования (ст. 78), в форме письменного предписания: отчётность с индивидуальной периодичностью, в том числе через витрину данных (пп. 1 приостановлен до 01.01.2027); оценка финансового и имущественного состояния с посещением банка и внешними оценщиками за счёт банка; анализ устойчивости к неблагоприятным макроусловиям; требование актуализации плана восстановления; требование мер от банка, крупных участников и холдинга вплоть до докапитализации; приостановление отдельных операций и сделок внутри конгломерата; улучшение корпоративного управления и СУР. Отдельно: с 01.01.2027 вводится в действие Закон № 306-VIII от 11.06.2026 с изменениями в Закон о банках — редакцию статей при работе за этим горизонтом сверять заново.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СЛЕДСТВИЯ ДЛЯ КЕЙСА 98-3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Сработка 98-3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без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представленного плана — прямой вход в признак ст. 85 п. 2 пп. 1 «снижение значений пруденциальных нормативов и лимитов»; щит п. 99 главы 11 удерживает банк на ступени 0, и пятидневный срок п. 102 — цена этого щита. Выход из усиленного надзора — только после устранения оснований 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шести последовательных месяцев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соблюдения всех нормативов и лимитов (ст. 87 п. 6). Решение о режиме конфиденциально (ст. 87 п. 4). Отдельно: план восстановления финансовой устойчивости (ст. 88) обязателен постоянно, актуализируется ежегодно, без госсредств, срок реализации до 12 месяцев — проверить его актуальность у владельца в банке; его неисполнение — самостоятельный признак ухудшения (ст. 85 п. 2 пп. 5).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8. Стыки с внутренней нормативной базой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7"/>
        <w:gridCol w:w="3663"/>
      </w:tblGrid>
      <w:tr>
        <w:trPr>
          <w:tblHeader/>
        </w:trP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Внутренний контур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Заявление РА (Приложение № 3 к Политике)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зеркала НЗ/СП среди 14 кредитных метрик нет — кандидат № 1 на включение при пересмотре уровней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п. 34 пп. 5, 6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БРМ разрабатывает системы раннего предупреждения и триггеры — ряды 98-1/98-2 дают готовую конструкцию СРП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86, отчёт по ВПОДК, Таблица 2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графы 9–10 (случаи достижения уровня и длительность) — сработка 98-3 подлежит отражению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Правила № 61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критерии обесценения задают периметр НЗ; стык с контуром Stage 3</w:t>
            </w:r>
          </w:p>
        </w:tc>
      </w:tr>
      <w:tr>
        <w:tc>
          <w:tcPr>
            <w:tcW w:type="dxa" w:w="5977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Форма 50</w:t>
            </w:r>
          </w:p>
        </w:tc>
        <w:tc>
          <w:tcPr>
            <w:tcW w:type="dxa" w:w="3663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НЗ/СП в отчёте об уровнях РА отсутствует; появится в сводном листе после включения в заявление РА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Сопоставление с ВНД Банка — по картам контуров risk_appetite и npl_limits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2026-08-19T10:10:39.073Z</dcterms:created>
  <dcterms:modified xsi:type="dcterms:W3CDTF">2026-08-19T10:10:39.074Z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