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тестированию DWH `Dictionaries.risk_analytics`: цикл 1</w:t>
      </w:r>
    </w:p>
    <w:p>
      <w:pPr>
        <w:jc w:val="both"/>
      </w:pPr>
      <w:r>
        <w:rPr>
          <w:color w:val="0B0B0B"/>
        </w:rPr>
        <w:t xml:space="preserve">Документ по KPI </w:t>
      </w:r>
      <w:r>
        <w:rPr>
          <w:b/>
          <w:color w:val="0B0B0B"/>
        </w:rPr>
        <w:t>«Развитие DWH и контроль качества данных»</w:t>
      </w:r>
      <w:r>
        <w:rPr>
          <w:color w:val="0B0B0B"/>
        </w:rPr>
        <w:t xml:space="preserve">, период оценки — III квартал 2026 года. Закрывает пункты 3 и 4 KPI: </w:t>
      </w:r>
      <w:r>
        <w:rPr>
          <w:b/>
          <w:color w:val="0B0B0B"/>
        </w:rPr>
        <w:t>проведение цикла тестирования и валидации</w:t>
      </w:r>
      <w:r>
        <w:rPr>
          <w:color w:val="0B0B0B"/>
        </w:rPr>
        <w:t xml:space="preserve"> и </w:t>
      </w:r>
      <w:r>
        <w:rPr>
          <w:b/>
          <w:color w:val="0B0B0B"/>
        </w:rPr>
        <w:t>взаимодействие внутри департамента и с БИТ</w:t>
      </w:r>
      <w:r>
        <w:rPr>
          <w:color w:val="0B0B0B"/>
        </w:rPr>
        <w:t xml:space="preserve">. Методология — </w:t>
      </w:r>
      <w:r>
        <w:rPr>
          <w:rFonts w:ascii="Consolas" w:hAnsi="Consolas"/>
          <w:color w:val="0B0B0B"/>
          <w:sz w:val="19"/>
        </w:rPr>
        <w:t>DWH_TEST_FRAMEWORK.md</w:t>
      </w:r>
      <w:r>
        <w:rPr>
          <w:color w:val="0B0B0B"/>
        </w:rPr>
        <w:t>.</w:t>
      </w:r>
    </w:p>
    <w:p>
      <w:pPr>
        <w:jc w:val="both"/>
      </w:pPr>
      <w:r>
        <w:rPr>
          <w:color w:val="0B0B0B"/>
        </w:rPr>
        <w:t xml:space="preserve">Все числа — из </w:t>
      </w:r>
      <w:r>
        <w:rPr>
          <w:rFonts w:ascii="Consolas" w:hAnsi="Consolas"/>
          <w:color w:val="0B0B0B"/>
          <w:sz w:val="19"/>
        </w:rPr>
        <w:t>FINDINGS.md</w:t>
      </w:r>
      <w:r>
        <w:rPr>
          <w:color w:val="0B0B0B"/>
        </w:rPr>
        <w:t xml:space="preserve"> и реестров контура; ссылки на разделы даны в таблицах.</w:t>
      </w:r>
    </w:p>
    <w:p>
      <w:pPr>
        <w:pStyle w:val="Heading2"/>
      </w:pPr>
      <w:r>
        <w:t>1. Итог в пяти строках</w:t>
      </w:r>
    </w:p>
    <w:p>
      <w:pPr>
        <w:pStyle w:val="ListNumber"/>
      </w:pPr>
      <w:r>
        <w:rPr>
          <w:color w:val="0B0B0B"/>
        </w:rPr>
        <w:t>Цикл 1 проведён с 17.07 по 24.09.2026: послойная проверка, 97 сценариев аналитика,</w:t>
      </w:r>
    </w:p>
    <w:p>
      <w:pPr>
        <w:jc w:val="both"/>
      </w:pPr>
      <w:r>
        <w:rPr>
          <w:color w:val="0B0B0B"/>
        </w:rPr>
        <w:t>13 проб, 5 кейс-прогонов, реестры полей и связей.</w:t>
      </w:r>
    </w:p>
    <w:p>
      <w:pPr>
        <w:pStyle w:val="ListNumber"/>
      </w:pPr>
      <w:r>
        <w:rPr>
          <w:b/>
          <w:color w:val="0B0B0B"/>
        </w:rPr>
        <w:t>Баланс по трём источникам из четырёх сходится со старой веткой.</w:t>
      </w:r>
      <w:r>
        <w:rPr>
          <w:color w:val="0B0B0B"/>
        </w:rPr>
        <w:t xml:space="preserve"> Связь таблиц</w:t>
      </w:r>
    </w:p>
    <w:p>
      <w:pPr>
        <w:jc w:val="both"/>
      </w:pPr>
      <w:r>
        <w:rPr>
          <w:color w:val="0B0B0B"/>
        </w:rPr>
        <w:t xml:space="preserve">по глобальному ключу </w:t>
      </w:r>
      <w:r>
        <w:rPr>
          <w:rFonts w:ascii="Consolas" w:hAnsi="Consolas"/>
          <w:color w:val="0B0B0B"/>
          <w:sz w:val="19"/>
        </w:rPr>
        <w:t>l_gid</w:t>
      </w:r>
      <w:r>
        <w:rPr>
          <w:color w:val="0B0B0B"/>
        </w:rPr>
        <w:t xml:space="preserve"> доказана.</w:t>
      </w:r>
    </w:p>
    <w:p>
      <w:pPr>
        <w:pStyle w:val="ListNumber"/>
      </w:pPr>
      <w:r>
        <w:rPr>
          <w:b/>
          <w:color w:val="0B0B0B"/>
        </w:rPr>
        <w:t>Для регуляторной отчётности март сегодня непригоден в трёх местах:</w:t>
      </w:r>
      <w:r>
        <w:rPr>
          <w:color w:val="0B0B0B"/>
        </w:rPr>
        <w:t xml:space="preserve"> просрочка 90+,</w:t>
      </w:r>
    </w:p>
    <w:p>
      <w:pPr>
        <w:jc w:val="both"/>
      </w:pPr>
      <w:r>
        <w:rPr>
          <w:color w:val="0B0B0B"/>
        </w:rPr>
        <w:t>карточный портфель S02 и залоги S01.</w:t>
      </w:r>
    </w:p>
    <w:p>
      <w:pPr>
        <w:pStyle w:val="ListNumber"/>
      </w:pPr>
      <w:r>
        <w:rPr>
          <w:color w:val="0B0B0B"/>
        </w:rPr>
        <w:t>В БИТ отправлено шесть писем по семи дефектам, у каждого — воспроизводимый скрипт.</w:t>
      </w:r>
    </w:p>
    <w:p>
      <w:pPr>
        <w:jc w:val="both"/>
      </w:pPr>
      <w:r>
        <w:rPr>
          <w:color w:val="0B0B0B"/>
        </w:rPr>
        <w:t>Ещё пять писем подготовлены и ждут повторной проверки или решения.</w:t>
      </w:r>
    </w:p>
    <w:p>
      <w:pPr>
        <w:pStyle w:val="ListNumber"/>
      </w:pPr>
      <w:r>
        <w:rPr>
          <w:color w:val="0B0B0B"/>
        </w:rPr>
        <w:t>Цикл 2 начинается с прогона №2 послойной проверки и отправки двух писем с наивысшим</w:t>
      </w:r>
    </w:p>
    <w:p>
      <w:pPr>
        <w:jc w:val="both"/>
      </w:pPr>
      <w:r>
        <w:rPr>
          <w:color w:val="0B0B0B"/>
        </w:rPr>
        <w:t>приоритетом.</w:t>
      </w:r>
    </w:p>
    <w:p>
      <w:pPr>
        <w:jc w:val="both"/>
      </w:pPr>
      <w:r>
        <w:rPr>
          <w:b/>
          <w:color w:val="0B0B0B"/>
        </w:rPr>
        <w:t>Чего отчёт не утверждает.</w:t>
      </w:r>
      <w:r>
        <w:rPr>
          <w:color w:val="0B0B0B"/>
        </w:rPr>
        <w:t xml:space="preserve"> Бухгалтерского эталона в тестах нет. Где старая и новая ветки расходятся, отчёт фиксирует расхождение, но не решает, какая из них права. Цифры получены на конкретных срезах: март перезаписывается, история хранится только у одной таблицы, и после следующей загрузки часть цифр не воспроизвести.</w:t>
      </w:r>
    </w:p>
    <w:p>
      <w:pPr>
        <w:pStyle w:val="Heading2"/>
      </w:pPr>
      <w:r>
        <w:t>2. Что прогнано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0B0B0B"/>
              </w:rPr>
              <w:t>Набор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Объём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Выполнено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Даты</w:t>
            </w:r>
          </w:p>
        </w:tc>
        <w:tc>
          <w:tcPr>
            <w:tcW w:type="dxa" w:w="1728"/>
          </w:tcPr>
          <w:p>
            <w:r>
              <w:rPr>
                <w:b/>
                <w:color w:val="0B0B0B"/>
              </w:rPr>
              <w:t>Разбор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Адверсариальное ревью скриптов независимой ветки проверки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12 пунктов, два раунда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полностью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17.07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0B0B0B"/>
                <w:sz w:val="19"/>
              </w:rPr>
              <w:t>FINDINGS.md</w:t>
            </w:r>
            <w:r>
              <w:rPr>
                <w:color w:val="0B0B0B"/>
              </w:rPr>
              <w:t xml:space="preserve"> §9.4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Послойная проверка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71 проверка, 14 слоёв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прогон №1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31.07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0B0B0B"/>
                <w:sz w:val="19"/>
              </w:rPr>
              <w:t>sql/SCRIPT_REGISTRY.md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Кейс-прогоны по ключам, залогам и покрытию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5 скриптов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полностью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05–07.08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§9.7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Сценарии уровня 1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E01–E35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35 из 35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08.08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§10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Пробы P1–P9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полностью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08.08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§11–§14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Сценарии уровней 2–3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M01–M40, H00–H15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61 сценарий и H15 отдельно; H21–H25 не выполнены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§16, §18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Пробы P10–P13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полностью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09.08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§17, §19–§21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Статическая предпроверка к прогону №2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71 проверка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полностью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01.09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0B0B0B"/>
                <w:sz w:val="19"/>
              </w:rPr>
              <w:t>RUN2_PRECHECK.md</w:t>
            </w:r>
          </w:p>
        </w:tc>
      </w:tr>
      <w:tr>
        <w:tc>
          <w:tcPr>
            <w:tcW w:type="dxa" w:w="1728"/>
          </w:tcPr>
          <w:p>
            <w:r>
              <w:rPr>
                <w:color w:val="0B0B0B"/>
              </w:rPr>
              <w:t>Реестр полей и связей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18 паспортов полей, 11 связей, 40 значений статуса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полностью</w:t>
            </w:r>
          </w:p>
        </w:tc>
        <w:tc>
          <w:tcPr>
            <w:tcW w:type="dxa" w:w="1728"/>
          </w:tcPr>
          <w:p>
            <w:r>
              <w:rPr>
                <w:color w:val="0B0B0B"/>
              </w:rPr>
              <w:t>01–24.09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0B0B0B"/>
                <w:sz w:val="19"/>
              </w:rPr>
              <w:t>dict_registry/</w:t>
            </w:r>
            <w:r>
              <w:rPr>
                <w:color w:val="0B0B0B"/>
              </w:rPr>
              <w:t xml:space="preserve">, </w:t>
            </w:r>
            <w:r>
              <w:rPr>
                <w:rFonts w:ascii="Consolas" w:hAnsi="Consolas"/>
                <w:color w:val="0B0B0B"/>
                <w:sz w:val="19"/>
              </w:rPr>
              <w:t>cl_registry/</w:t>
            </w:r>
          </w:p>
        </w:tc>
      </w:tr>
    </w:tbl>
    <w:p/>
    <w:p>
      <w:pPr>
        <w:jc w:val="both"/>
      </w:pPr>
      <w:r>
        <w:rPr>
          <w:color w:val="0B0B0B"/>
        </w:rPr>
        <w:t xml:space="preserve">Срез: </w:t>
      </w:r>
      <w:r>
        <w:rPr>
          <w:rFonts w:ascii="Consolas" w:hAnsi="Consolas"/>
          <w:color w:val="0B0B0B"/>
          <w:sz w:val="19"/>
        </w:rPr>
        <w:t>@AsOf = 2026-08-01</w:t>
      </w:r>
      <w:r>
        <w:rPr>
          <w:color w:val="0B0B0B"/>
        </w:rPr>
        <w:t xml:space="preserve">, для </w:t>
      </w:r>
      <w:r>
        <w:rPr>
          <w:rFonts w:ascii="Consolas" w:hAnsi="Consolas"/>
          <w:color w:val="0B0B0B"/>
          <w:sz w:val="19"/>
        </w:rPr>
        <w:t>loan_account</w:t>
      </w:r>
      <w:r>
        <w:rPr>
          <w:color w:val="0B0B0B"/>
        </w:rPr>
        <w:t xml:space="preserve"> — последняя дата каждого источника. Сверка со старой веткой — на 01.07.2026.</w:t>
      </w:r>
    </w:p>
    <w:p>
      <w:pPr>
        <w:pStyle w:val="Heading2"/>
      </w:pPr>
      <w:r>
        <w:t>3. Результаты: карта пригодности</w:t>
      </w:r>
    </w:p>
    <w:p>
      <w:pPr>
        <w:pStyle w:val="Heading3"/>
      </w:pPr>
      <w:r>
        <w:t>3.1 Можно использовать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Доказательство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Где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 xml:space="preserve">Связь таблиц по </w:t>
            </w:r>
            <w:r>
              <w:rPr>
                <w:rFonts w:ascii="Consolas" w:hAnsi="Consolas"/>
                <w:color w:val="0B0B0B"/>
                <w:sz w:val="19"/>
              </w:rPr>
              <w:t>l_gid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номер договора не глобален (9 659 коллизий между источниками), </w:t>
            </w:r>
            <w:r>
              <w:rPr>
                <w:rFonts w:ascii="Consolas" w:hAnsi="Consolas"/>
                <w:color w:val="0B0B0B"/>
                <w:sz w:val="19"/>
              </w:rPr>
              <w:t>l_gid</w:t>
            </w:r>
            <w:r>
              <w:rPr>
                <w:color w:val="0B0B0B"/>
              </w:rPr>
              <w:t xml:space="preserve"> — ни одной; ставки связываются по </w:t>
            </w:r>
            <w:r>
              <w:rPr>
                <w:rFonts w:ascii="Consolas" w:hAnsi="Consolas"/>
                <w:color w:val="0B0B0B"/>
                <w:sz w:val="19"/>
              </w:rPr>
              <w:t>l_gid</w:t>
            </w:r>
            <w:r>
              <w:rPr>
                <w:color w:val="0B0B0B"/>
              </w:rPr>
              <w:t xml:space="preserve"> на 100 % по всем четырём источникам, график — по трём (S02 в графике нет)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§1, §14, §18.1, §19.2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Баланс S01, S03, S17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расхождение со старой веткой: S01 −0,02 ₸; S03 140 854 ₸ на 237 тыс. договоров; S17 −5,6 млн ₸ на четырёх договорах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§4, §6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Валюта, признак POCI, даты выдачи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валюта без пропусков, POCI без противоречий, ни одной выдачи раньше открытия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§10.8</w:t>
            </w:r>
          </w:p>
        </w:tc>
      </w:tr>
    </w:tbl>
    <w:p/>
    <w:p>
      <w:pPr>
        <w:pStyle w:val="Heading3"/>
      </w:pPr>
      <w:r>
        <w:t>3.2 Можно, но с оговорками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Оговорка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Где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Провизии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расходятся со старой веткой: S03 +30,6 млрд ₸ на совпавших договорах, S17 +29,8 млн ₸. Какая ветка права — без бухгалтерского эталона не решается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§4, §6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Активный портфель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определяется вьюхой </w:t>
            </w:r>
            <w:r>
              <w:rPr>
                <w:rFonts w:ascii="Consolas" w:hAnsi="Consolas"/>
                <w:color w:val="0B0B0B"/>
                <w:sz w:val="19"/>
              </w:rPr>
              <w:t>loans_active</w:t>
            </w:r>
            <w:r>
              <w:rPr>
                <w:color w:val="0B0B0B"/>
              </w:rPr>
              <w:t>, а не статусом: по S17 разница 2 629 договоров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§10.3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Ставка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только из </w:t>
            </w:r>
            <w:r>
              <w:rPr>
                <w:rFonts w:ascii="Consolas" w:hAnsi="Consolas"/>
                <w:color w:val="0B0B0B"/>
                <w:sz w:val="19"/>
              </w:rPr>
              <w:t>interest_rates</w:t>
            </w:r>
            <w:r>
              <w:rPr>
                <w:color w:val="0B0B0B"/>
              </w:rPr>
              <w:t xml:space="preserve">: покрытие 48,92 % активного портфеля, в одной программе смешаны две шкалы; </w:t>
            </w:r>
            <w:r>
              <w:rPr>
                <w:rFonts w:ascii="Consolas" w:hAnsi="Consolas"/>
                <w:color w:val="0B0B0B"/>
                <w:sz w:val="19"/>
              </w:rPr>
              <w:t>l_rate</w:t>
            </w:r>
            <w:r>
              <w:rPr>
                <w:color w:val="0B0B0B"/>
              </w:rPr>
              <w:t xml:space="preserve"> в </w:t>
            </w:r>
            <w:r>
              <w:rPr>
                <w:rFonts w:ascii="Consolas" w:hAnsi="Consolas"/>
                <w:color w:val="0B0B0B"/>
                <w:sz w:val="19"/>
              </w:rPr>
              <w:t>loans</w:t>
            </w:r>
            <w:r>
              <w:rPr>
                <w:color w:val="0B0B0B"/>
              </w:rPr>
              <w:t xml:space="preserve"> — название программы, а не ставка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§11.1, §14.7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График платежей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ведёт договоры вне активного портфеля: у S17 это 63,9 % строк, поэтому соединять только с портфелем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§19.5</w:t>
            </w:r>
          </w:p>
        </w:tc>
      </w:tr>
    </w:tbl>
    <w:p/>
    <w:p>
      <w:pPr>
        <w:pStyle w:val="Heading3"/>
      </w:pPr>
      <w:r>
        <w:t>3.3 Нельзя использовать до исправления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Почему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Где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Просрочка 90+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0B0B0B"/>
                <w:sz w:val="19"/>
              </w:rPr>
              <w:t>days_past_due</w:t>
            </w:r>
            <w:r>
              <w:rPr>
                <w:color w:val="0B0B0B"/>
              </w:rPr>
              <w:t xml:space="preserve"> не заполнен у 87,9 % экспозиции последнего среза, у S02 — у 100 %. Признака 90+, пригодного для всех источников, нет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Карточный портфель S02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с февраля 2026 года </w:t>
            </w:r>
            <w:r>
              <w:rPr>
                <w:rFonts w:ascii="Consolas" w:hAnsi="Consolas"/>
                <w:color w:val="0B0B0B"/>
                <w:sz w:val="19"/>
              </w:rPr>
              <w:t>loan_account</w:t>
            </w:r>
            <w:r>
              <w:rPr>
                <w:color w:val="0B0B0B"/>
              </w:rPr>
              <w:t xml:space="preserve"> содержит 17,9 % карточного портфеля старой ветки; 84,47 млн ₸ просрочки не видны в марте нигде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§6, §20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0B0B0B"/>
              </w:rPr>
              <w:t>Залоги S01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идентификатор залога совпадает у разных объектов; покрытие портфеля залогом — 533,51 % против 80–111 % у S03 и S17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§9.7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Клиентский разрез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у 52,4 % ИИН/БИН больше одного </w:t>
            </w:r>
            <w:r>
              <w:rPr>
                <w:rFonts w:ascii="Consolas" w:hAnsi="Consolas"/>
                <w:color w:val="0B0B0B"/>
                <w:sz w:val="19"/>
              </w:rPr>
              <w:t>borrower_id</w:t>
            </w:r>
            <w:r>
              <w:rPr>
                <w:color w:val="0B0B0B"/>
              </w:rPr>
              <w:t>, сквозного клиента между источниками нет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§18.4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Рейтинг клиента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актуален у 559 клиентов из 15,6 млн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§10.5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Динамика по большинству таблиц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история хранится у одной таблицы из четырнадцати — </w:t>
            </w:r>
            <w:r>
              <w:rPr>
                <w:rFonts w:ascii="Consolas" w:hAnsi="Consolas"/>
                <w:color w:val="0B0B0B"/>
                <w:sz w:val="19"/>
              </w:rPr>
              <w:t>loan_account</w:t>
            </w:r>
            <w:r>
              <w:rPr>
                <w:color w:val="0B0B0B"/>
              </w:rPr>
              <w:t>, и в ней обрыв: в феврале 2026 года −248 107 строк по трём источникам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§20, §21</w:t>
            </w:r>
          </w:p>
        </w:tc>
      </w:tr>
    </w:tbl>
    <w:p/>
    <w:p>
      <w:pPr>
        <w:pStyle w:val="Heading2"/>
      </w:pPr>
      <w:r>
        <w:t>4. Валидация самих тестов</w:t>
      </w:r>
    </w:p>
    <w:p>
      <w:pPr>
        <w:jc w:val="both"/>
      </w:pPr>
      <w:r>
        <w:rPr>
          <w:color w:val="0B0B0B"/>
        </w:rPr>
        <w:t>Цикл проверял не только март, но и собственные скрипты. Дефект скрипта, отправленный в БИТ как дефект марта, стоит времени команды и доверия к следующему письму.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Где найдено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Дефектов скрипта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 с ними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Прогон №1 послойной проверки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6: не та колонка баланса, сравнение строкой вместо числа, JOIN без приведения типа, вся история против одного среза, ротация вместо целостности ключа, </w:t>
            </w:r>
            <w:r>
              <w:rPr>
                <w:rFonts w:ascii="Consolas" w:hAnsi="Consolas"/>
                <w:color w:val="0B0B0B"/>
                <w:sz w:val="19"/>
              </w:rPr>
              <w:t>&lt;=</w:t>
            </w:r>
            <w:r>
              <w:rPr>
                <w:color w:val="0B0B0B"/>
              </w:rPr>
              <w:t xml:space="preserve"> вместо </w:t>
            </w:r>
            <w:r>
              <w:rPr>
                <w:rFonts w:ascii="Consolas" w:hAnsi="Consolas"/>
                <w:color w:val="0B0B0B"/>
                <w:sz w:val="19"/>
              </w:rPr>
              <w:t>&lt;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исправлены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Самопроверка сценариев уровня 3 до запуска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исправлены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Прогон сценариев уровней 2–3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4, в том числе вывод ФИО одним сценарием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исправлены; ФИО заменены рангом и хешем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Зависание сценария H15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 xml:space="preserve">1: </w:t>
            </w:r>
            <w:r>
              <w:rPr>
                <w:rFonts w:ascii="Consolas" w:hAnsi="Consolas"/>
                <w:color w:val="0B0B0B"/>
                <w:sz w:val="19"/>
              </w:rPr>
              <w:t>CROSS APPLY</w:t>
            </w:r>
            <w:r>
              <w:rPr>
                <w:color w:val="0B0B0B"/>
              </w:rPr>
              <w:t xml:space="preserve"> до фильтра размножал портфель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исправлено, H15 выполнен отдельно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Статическая предпроверка к прогону №2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10, из них 3 давали ложно-зелёные вердикты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к исправлению до прогона №2</w:t>
            </w:r>
          </w:p>
        </w:tc>
      </w:tr>
    </w:tbl>
    <w:p/>
    <w:p>
      <w:pPr>
        <w:jc w:val="both"/>
      </w:pPr>
      <w:r>
        <w:rPr>
          <w:b/>
          <w:color w:val="0B0B0B"/>
        </w:rPr>
        <w:t>Отозванные собственные выводы</w:t>
      </w:r>
      <w:r>
        <w:rPr>
          <w:color w:val="0B0B0B"/>
        </w:rPr>
        <w:t xml:space="preserve"> хранятся в реестре с прежней формулировкой. Главные: «grain </w:t>
      </w:r>
      <w:r>
        <w:rPr>
          <w:rFonts w:ascii="Consolas" w:hAnsi="Consolas"/>
          <w:color w:val="0B0B0B"/>
          <w:sz w:val="19"/>
        </w:rPr>
        <w:t>loans</w:t>
      </w:r>
      <w:r>
        <w:rPr>
          <w:color w:val="0B0B0B"/>
        </w:rPr>
        <w:t xml:space="preserve"> подтверждён» — отозван 17.07, проверка оказалась тавтологией запроса; «</w:t>
      </w:r>
      <w:r>
        <w:rPr>
          <w:rFonts w:ascii="Consolas" w:hAnsi="Consolas"/>
          <w:color w:val="0B0B0B"/>
          <w:sz w:val="19"/>
        </w:rPr>
        <w:t>l_rate</w:t>
      </w:r>
      <w:r>
        <w:rPr>
          <w:color w:val="0B0B0B"/>
        </w:rPr>
        <w:t xml:space="preserve"> чинится заменой формата» — опровергнуто пробой: там название программы; «</w:t>
      </w:r>
      <w:r>
        <w:rPr>
          <w:rFonts w:ascii="Consolas" w:hAnsi="Consolas"/>
          <w:color w:val="0B0B0B"/>
          <w:sz w:val="19"/>
        </w:rPr>
        <w:t>loan_account</w:t>
      </w:r>
      <w:r>
        <w:rPr>
          <w:color w:val="0B0B0B"/>
        </w:rPr>
        <w:t xml:space="preserve"> содержит только S03» — снято: у S03 другая дата среза.</w:t>
      </w:r>
    </w:p>
    <w:p>
      <w:pPr>
        <w:pStyle w:val="Heading2"/>
      </w:pPr>
      <w:r>
        <w:t>5. Взаимодействие</w:t>
      </w:r>
    </w:p>
    <w:p>
      <w:pPr>
        <w:pStyle w:val="Heading3"/>
      </w:pPr>
      <w:r>
        <w:t>5.1 Внутри департамента</w:t>
      </w:r>
    </w:p>
    <w:p>
      <w:pPr>
        <w:pStyle w:val="ListBullet"/>
      </w:pPr>
      <w:r>
        <w:rPr>
          <w:b/>
          <w:color w:val="0B0B0B"/>
        </w:rPr>
        <w:t>Две независимые ветки проверки.</w:t>
      </w:r>
      <w:r>
        <w:rPr>
          <w:color w:val="0B0B0B"/>
        </w:rPr>
        <w:t xml:space="preserve"> Мирас — ключи, grain, периметр; Сайлау — провизии,</w:t>
      </w:r>
    </w:p>
    <w:p>
      <w:pPr>
        <w:jc w:val="both"/>
      </w:pPr>
      <w:r>
        <w:rPr>
          <w:color w:val="0B0B0B"/>
        </w:rPr>
        <w:t>DPD, 90+ и независимый реестр DWH-01…16. Цифры одной ветки не идут в общее письмо, пока не перепроверены методом другой (</w:t>
      </w:r>
      <w:r>
        <w:rPr>
          <w:rFonts w:ascii="Consolas" w:hAnsi="Consolas"/>
          <w:color w:val="0B0B0B"/>
          <w:sz w:val="19"/>
        </w:rPr>
        <w:t>FINDINGS.md</w:t>
      </w:r>
      <w:r>
        <w:rPr>
          <w:color w:val="0B0B0B"/>
        </w:rPr>
        <w:t xml:space="preserve"> §9).</w:t>
      </w:r>
    </w:p>
    <w:p>
      <w:pPr>
        <w:pStyle w:val="ListBullet"/>
      </w:pPr>
      <w:r>
        <w:rPr>
          <w:b/>
          <w:color w:val="0B0B0B"/>
        </w:rPr>
        <w:t>Адверсариальное ревью.</w:t>
      </w:r>
      <w:r>
        <w:rPr>
          <w:color w:val="0B0B0B"/>
        </w:rPr>
        <w:t xml:space="preserve"> 12 пунктов по скриптам независимой ветки, затем второй раунд —</w:t>
      </w:r>
    </w:p>
    <w:p>
      <w:pPr>
        <w:jc w:val="both"/>
      </w:pPr>
      <w:r>
        <w:rPr>
          <w:color w:val="0B0B0B"/>
        </w:rPr>
        <w:t xml:space="preserve">по собственной проверке. Второй раунд отозвал собственный вывод о grain </w:t>
      </w:r>
      <w:r>
        <w:rPr>
          <w:rFonts w:ascii="Consolas" w:hAnsi="Consolas"/>
          <w:color w:val="0B0B0B"/>
          <w:sz w:val="19"/>
        </w:rPr>
        <w:t>loans</w:t>
      </w:r>
      <w:r>
        <w:rPr>
          <w:color w:val="0B0B0B"/>
        </w:rPr>
        <w:t>.</w:t>
      </w:r>
    </w:p>
    <w:p>
      <w:pPr>
        <w:pStyle w:val="ListBullet"/>
      </w:pPr>
      <w:r>
        <w:rPr>
          <w:b/>
          <w:color w:val="0B0B0B"/>
        </w:rPr>
        <w:t>Общая карта состояния</w:t>
      </w:r>
      <w:r>
        <w:rPr>
          <w:color w:val="0B0B0B"/>
        </w:rPr>
        <w:t xml:space="preserve"> — BI-канвас </w:t>
      </w:r>
      <w:r>
        <w:rPr>
          <w:rFonts w:ascii="Consolas" w:hAnsi="Consolas"/>
          <w:color w:val="0B0B0B"/>
          <w:sz w:val="19"/>
        </w:rPr>
        <w:t>bi_canvas/dwh_schema_explorer.html</w:t>
      </w:r>
      <w:r>
        <w:rPr>
          <w:color w:val="0B0B0B"/>
        </w:rPr>
        <w:t>. Методика</w:t>
      </w:r>
    </w:p>
    <w:p>
      <w:pPr>
        <w:jc w:val="both"/>
      </w:pPr>
      <w:r>
        <w:rPr>
          <w:color w:val="0B0B0B"/>
        </w:rPr>
        <w:t>независимой ветки задокументирована (</w:t>
      </w:r>
      <w:r>
        <w:rPr>
          <w:rFonts w:ascii="Consolas" w:hAnsi="Consolas"/>
          <w:color w:val="0B0B0B"/>
          <w:sz w:val="19"/>
        </w:rPr>
        <w:t>bi_canvas/SAILAU_METHOD.md</w:t>
      </w:r>
      <w:r>
        <w:rPr>
          <w:color w:val="0B0B0B"/>
        </w:rPr>
        <w:t>).</w:t>
      </w:r>
    </w:p>
    <w:p>
      <w:pPr>
        <w:pStyle w:val="Heading3"/>
      </w:pPr>
      <w:r>
        <w:t>5.2 С БИТ</w:t>
      </w:r>
    </w:p>
    <w:p>
      <w:pPr>
        <w:jc w:val="both"/>
      </w:pPr>
      <w:r>
        <w:rPr>
          <w:b/>
          <w:color w:val="0B0B0B"/>
        </w:rPr>
        <w:t>Отправлено — шесть писем по семи дефектам.</w:t>
      </w:r>
      <w:r>
        <w:rPr>
          <w:color w:val="0B0B0B"/>
        </w:rPr>
        <w:t xml:space="preserve"> К каждому приложен скрипт, который БИТ может запустить у себя.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Дефект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Письмо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Дата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Гарантии: резерв в тенге в 100 раз больше резерва в валюте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письмо и эскалация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04.08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Платежи: точные дубли; S02 — формула итога и дубли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№ 18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04.08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 xml:space="preserve">Дубли </w:t>
            </w:r>
            <w:r>
              <w:rPr>
                <w:rFonts w:ascii="Consolas" w:hAnsi="Consolas"/>
                <w:color w:val="0B0B0B"/>
                <w:sz w:val="19"/>
              </w:rPr>
              <w:t>l_gid</w:t>
            </w:r>
            <w:r>
              <w:rPr>
                <w:color w:val="0B0B0B"/>
              </w:rPr>
              <w:t xml:space="preserve"> в </w:t>
            </w:r>
            <w:r>
              <w:rPr>
                <w:rFonts w:ascii="Consolas" w:hAnsi="Consolas"/>
                <w:color w:val="0B0B0B"/>
                <w:sz w:val="19"/>
              </w:rPr>
              <w:t>loans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№ 19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04.08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Несовместимые типы ключей в четырёх связках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№ 21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04.08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Потеря 90+ при переходе: ≈ 1,365 млрд ₸ по S02, S03, S17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№ 22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04.08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S01: коллизия идентификатора залога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отправлено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не позднее 08.08</w:t>
            </w:r>
          </w:p>
        </w:tc>
      </w:tr>
    </w:tbl>
    <w:p/>
    <w:p>
      <w:pPr>
        <w:jc w:val="both"/>
      </w:pPr>
      <w:r>
        <w:rPr>
          <w:b/>
          <w:color w:val="0B0B0B"/>
        </w:rPr>
        <w:t>Подготовлено, не отправлено — пять черновиков.</w:t>
      </w:r>
      <w:r>
        <w:rPr>
          <w:color w:val="0B0B0B"/>
        </w:rPr>
        <w:t xml:space="preserve"> Каждый ждёт конкретного условия.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B0B0B"/>
              </w:rPr>
              <w:t>Черновик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Почему не отправлен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Признака 90+ нет ни в одном поле, пригодном для всех источников</w:t>
            </w:r>
          </w:p>
        </w:tc>
        <w:tc>
          <w:tcPr>
            <w:tcW w:type="dxa" w:w="4320"/>
          </w:tcPr>
          <w:p>
            <w:r>
              <w:rPr>
                <w:b/>
                <w:color w:val="0B0B0B"/>
              </w:rPr>
              <w:t>наивысший приоритет</w:t>
            </w:r>
            <w:r>
              <w:rPr>
                <w:color w:val="0B0B0B"/>
              </w:rPr>
              <w:t xml:space="preserve"> — к отправке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 xml:space="preserve">Обрыв </w:t>
            </w:r>
            <w:r>
              <w:rPr>
                <w:rFonts w:ascii="Consolas" w:hAnsi="Consolas"/>
                <w:color w:val="0B0B0B"/>
                <w:sz w:val="19"/>
              </w:rPr>
              <w:t>loan_account</w:t>
            </w:r>
            <w:r>
              <w:rPr>
                <w:color w:val="0B0B0B"/>
              </w:rPr>
              <w:t xml:space="preserve"> в феврале 2026 по трём источникам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к отправке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Ставка: две шкалы в одной программе, эффективной ставки нет у двух источников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к отправке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Залоги S03 по правильному ключу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посчитан на срезе 01.07, которого в марте больше нет: пересчитать на текущем</w:t>
            </w:r>
          </w:p>
        </w:tc>
      </w:tr>
      <w:tr>
        <w:tc>
          <w:tcPr>
            <w:tcW w:type="dxa" w:w="4320"/>
          </w:tcPr>
          <w:p>
            <w:r>
              <w:rPr>
                <w:color w:val="0B0B0B"/>
              </w:rPr>
              <w:t>Гарантии: отношение ×100 на данных 09.08 не воспроизводится</w:t>
            </w:r>
          </w:p>
        </w:tc>
        <w:tc>
          <w:tcPr>
            <w:tcW w:type="dxa" w:w="4320"/>
          </w:tcPr>
          <w:p>
            <w:r>
              <w:rPr>
                <w:color w:val="0B0B0B"/>
              </w:rPr>
              <w:t>прогнать исходный скрипт от 04.08; если дефект исправлен — подтвердить БИТ письмом</w:t>
            </w:r>
          </w:p>
        </w:tc>
      </w:tr>
    </w:tbl>
    <w:p/>
    <w:p>
      <w:pPr>
        <w:pStyle w:val="Heading2"/>
      </w:pPr>
      <w:r>
        <w:t>6. Вопросы к автору марта</w:t>
      </w:r>
    </w:p>
    <w:p>
      <w:pPr>
        <w:jc w:val="both"/>
      </w:pPr>
      <w:r>
        <w:rPr>
          <w:color w:val="0B0B0B"/>
        </w:rPr>
        <w:t>Решаются только ответом, на данных — нет.</w:t>
      </w:r>
    </w:p>
    <w:p>
      <w:pPr>
        <w:pStyle w:val="ListNumber"/>
      </w:pPr>
      <w:r>
        <w:rPr>
          <w:color w:val="0B0B0B"/>
        </w:rPr>
        <w:t>Правила загрузки провизий 1428 и 18771 и источник DPD по каждой системе.</w:t>
      </w:r>
    </w:p>
    <w:p>
      <w:pPr>
        <w:pStyle w:val="ListNumber"/>
      </w:pPr>
      <w:r>
        <w:rPr>
          <w:color w:val="0B0B0B"/>
        </w:rPr>
        <w:t>Смысл пустого DPD и значения −1; почему в июле сменился расчёт DPD у S17.</w:t>
      </w:r>
    </w:p>
    <w:p>
      <w:pPr>
        <w:pStyle w:val="ListNumber"/>
      </w:pPr>
      <w:r>
        <w:rPr>
          <w:color w:val="0B0B0B"/>
        </w:rPr>
        <w:t xml:space="preserve">Почему с февраля 2026 года </w:t>
      </w:r>
      <w:r>
        <w:rPr>
          <w:rFonts w:ascii="Consolas" w:hAnsi="Consolas"/>
          <w:color w:val="0B0B0B"/>
          <w:sz w:val="19"/>
        </w:rPr>
        <w:t>loan_account</w:t>
      </w:r>
      <w:r>
        <w:rPr>
          <w:color w:val="0B0B0B"/>
        </w:rPr>
        <w:t xml:space="preserve"> не грузит большую часть S02 и почему в феврале</w:t>
      </w:r>
    </w:p>
    <w:p>
      <w:pPr>
        <w:jc w:val="both"/>
      </w:pPr>
      <w:r>
        <w:rPr>
          <w:color w:val="0B0B0B"/>
        </w:rPr>
        <w:t>сократился ещё у двух источников.</w:t>
      </w:r>
    </w:p>
    <w:p>
      <w:pPr>
        <w:pStyle w:val="ListNumber"/>
      </w:pPr>
      <w:r>
        <w:rPr>
          <w:color w:val="0B0B0B"/>
        </w:rPr>
        <w:t>Покрывает ли блок выбытия (списания, взыскание, внебаланс) карты и Fenix.</w:t>
      </w:r>
    </w:p>
    <w:p>
      <w:pPr>
        <w:pStyle w:val="ListNumber"/>
      </w:pPr>
      <w:r>
        <w:rPr>
          <w:color w:val="0B0B0B"/>
        </w:rPr>
        <w:t>Почему у S17 не считается просрочка по вознаграждению — пусто на всех совпавших договорах.</w:t>
      </w:r>
    </w:p>
    <w:p>
      <w:pPr>
        <w:pStyle w:val="ListNumber"/>
      </w:pPr>
      <w:r>
        <w:rPr>
          <w:color w:val="0B0B0B"/>
        </w:rPr>
        <w:t>Хранит ли март историю и может ли хранить: сейчас она есть у одной таблицы из</w:t>
      </w:r>
    </w:p>
    <w:p>
      <w:pPr>
        <w:jc w:val="both"/>
      </w:pPr>
      <w:r>
        <w:rPr>
          <w:color w:val="0B0B0B"/>
        </w:rPr>
        <w:t>четырнадцати.</w:t>
      </w:r>
    </w:p>
    <w:p>
      <w:pPr>
        <w:pStyle w:val="Heading2"/>
      </w:pPr>
      <w:r>
        <w:t>7. Цикл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B0B0B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Что</w:t>
            </w:r>
          </w:p>
        </w:tc>
        <w:tc>
          <w:tcPr>
            <w:tcW w:type="dxa" w:w="2880"/>
          </w:tcPr>
          <w:p>
            <w:r>
              <w:rPr>
                <w:b/>
                <w:color w:val="0B0B0B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Прогон №2 послойной проверки — после исправления десяти дефектов предпроверки, совместно с Сайлау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блокирует перенос статусов на карту состояния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Отправка черновиков про 90+ и про февральский обрыв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оба блокируют регуляторную отчётность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Проверки полноты по плану счетов DQ-1…DQ-8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в формулах баланса не хватает части счетов займов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Сценарии H21–H25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зафиксировать числом границу блока выбытия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Повторная проверка гарантий исходным скриптом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подтвердить исправление или продолжить эскалацию</w:t>
            </w:r>
          </w:p>
        </w:tc>
      </w:tr>
      <w:tr>
        <w:tc>
          <w:tcPr>
            <w:tcW w:type="dxa" w:w="2880"/>
          </w:tcPr>
          <w:p>
            <w:r>
              <w:rPr>
                <w:color w:val="0B0B0B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Архив агрегатов каждого прогона на своей стороне</w:t>
            </w:r>
          </w:p>
        </w:tc>
        <w:tc>
          <w:tcPr>
            <w:tcW w:type="dxa" w:w="2880"/>
          </w:tcPr>
          <w:p>
            <w:r>
              <w:rPr>
                <w:color w:val="0B0B0B"/>
              </w:rPr>
              <w:t>март не хранит истории</w:t>
            </w:r>
          </w:p>
        </w:tc>
      </w:tr>
    </w:tbl>
    <w:p/>
    <w:p>
      <w:pPr>
        <w:jc w:val="both"/>
      </w:pPr>
      <w:r>
        <w:rPr>
          <w:color w:val="0B0B0B"/>
        </w:rPr>
        <w:t>Сроки цикла 2 не назначены.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