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Аналитическая записка: зоны наблюдения и меры реагирования по кредитным метрикам риск-аппетита</w:t>
      </w:r>
    </w:p>
    <w:p>
      <w:pPr>
        <w:jc w:val="both"/>
      </w:pPr>
      <w:r>
        <w:rPr>
          <w:color w:val="0B0B0B"/>
        </w:rPr>
        <w:t>Версия 0.6, 17.09.2026. Заменяет v0.5, которая считалась на квартальных рядах из девяти точек и в § 3 утверждала, что уровень по топ-20 нарушен. На месячных рядах из тридцати шести точек этот вывод не подтверждается — см. § 4.</w:t>
      </w:r>
    </w:p>
    <w:p>
      <w:pPr>
        <w:jc w:val="both"/>
      </w:pPr>
      <w:r>
        <w:rPr>
          <w:b/>
          <w:color w:val="0B0B0B"/>
        </w:rPr>
        <w:t>Черновик для проверки и принятия.</w:t>
      </w:r>
      <w:r>
        <w:rPr>
          <w:color w:val="0B0B0B"/>
        </w:rPr>
        <w:t xml:space="preserve"> Записку защищает тот, кто её подписывает, поэтому каждое число снабжено ссылкой на ячейку, формулу или прогон, откуда оно взято (§ 12 — сводная карта источников). Утверждений без такой ссылки в записке нет.</w:t>
      </w:r>
    </w:p>
    <w:p>
      <w:pPr>
        <w:pStyle w:val="Heading2"/>
      </w:pPr>
      <w:r>
        <w:t>1. О чём записка и чего в ней нет</w:t>
      </w:r>
    </w:p>
    <w:p>
      <w:pPr>
        <w:jc w:val="both"/>
      </w:pPr>
      <w:r>
        <w:rPr>
          <w:b/>
          <w:color w:val="0B0B0B"/>
        </w:rPr>
        <w:t>О чём.</w:t>
      </w:r>
      <w:r>
        <w:rPr>
          <w:color w:val="0B0B0B"/>
        </w:rPr>
        <w:t xml:space="preserve"> Как разметить зоны наблюдения по двенадцати кредитным метрикам риск-аппетита, какие триггеры ставить на движение метрики и какая мера соответствует каждому сочетанию зоны и триггеров.</w:t>
      </w:r>
    </w:p>
    <w:p>
      <w:pPr>
        <w:jc w:val="both"/>
      </w:pPr>
      <w:r>
        <w:rPr>
          <w:b/>
          <w:color w:val="0B0B0B"/>
        </w:rPr>
        <w:t>Чего в ней нет.</w:t>
      </w:r>
      <w:r>
        <w:rPr>
          <w:color w:val="0B0B0B"/>
        </w:rPr>
        <w:t xml:space="preserve"> Записка </w:t>
      </w:r>
      <w:r>
        <w:rPr>
          <w:b/>
          <w:color w:val="0B0B0B"/>
        </w:rPr>
        <w:t>не устанавливает уровни риск-аппетита</w:t>
      </w:r>
      <w:r>
        <w:rPr>
          <w:color w:val="0B0B0B"/>
        </w:rPr>
        <w:t xml:space="preserve"> — они установлены Приложением № 3 к Политике. Она размечает пространство внутри уже установленного уровня. Единственное исключение — § 4, где ставится развилка по уровню топ-20; но и там записка предлагает выбор уполномоченному органу, а не делает его.</w:t>
      </w:r>
    </w:p>
    <w:p>
      <w:pPr>
        <w:jc w:val="both"/>
      </w:pPr>
      <w:r>
        <w:rPr>
          <w:b/>
          <w:color w:val="0B0B0B"/>
        </w:rPr>
        <w:t>Периметр данных.</w:t>
      </w:r>
      <w:r>
        <w:rPr>
          <w:color w:val="0B0B0B"/>
        </w:rPr>
        <w:t xml:space="preserve"> Тридцать шесть месячных точек, 01.08.2023 — 01.07.2026, по двенадцати кредитным метрикам. Оговорка, которую надо объявлять при использовании: из 36 месяцев </w:t>
      </w:r>
      <w:r>
        <w:rPr>
          <w:b/>
          <w:color w:val="0B0B0B"/>
        </w:rPr>
        <w:t>сверены с отчётностью 20</w:t>
      </w:r>
      <w:r>
        <w:rPr>
          <w:color w:val="0B0B0B"/>
        </w:rPr>
        <w:t>; первые 16 — реконструкция, величин уполномоченный орган не видел. Калибровать на них можно, объявив это; молча — нельзя.</w:t>
      </w:r>
    </w:p>
    <w:p>
      <w:pPr>
        <w:pStyle w:val="Heading2"/>
      </w:pPr>
      <w:r>
        <w:t>2. Зачем это делается</w:t>
      </w:r>
    </w:p>
    <w:p>
      <w:pPr>
        <w:jc w:val="both"/>
      </w:pPr>
      <w:r>
        <w:rPr>
          <w:color w:val="0B0B0B"/>
        </w:rPr>
        <w:t xml:space="preserve">Правила формирования системы управления рисками и внутреннего контроля (пост. АРРФР от 28.04.2026, рег. № 38586) в п. 18 требуют, помимо лимита, </w:t>
      </w:r>
      <w:r>
        <w:rPr>
          <w:b/>
          <w:color w:val="0B0B0B"/>
        </w:rPr>
        <w:t>уровня, определённого как допустимый</w:t>
      </w:r>
      <w:r>
        <w:rPr>
          <w:color w:val="0B0B0B"/>
        </w:rPr>
        <w:t xml:space="preserve"> — порога внутри лимита, при достижении которого запускаются корректирующие меры до нарушения. По четырнадцати кредитным метрикам такого уровня нет.</w:t>
      </w:r>
    </w:p>
    <w:p>
      <w:pPr>
        <w:jc w:val="both"/>
      </w:pPr>
      <w:r>
        <w:rPr>
          <w:color w:val="0B0B0B"/>
        </w:rPr>
        <w:t>П. 34 пп. 5 и 6 тех же Правил относит разработку систем раннего предупреждения и триггеров к прямой обязанности подразделения по управлению рисками.</w:t>
      </w:r>
    </w:p>
    <w:p>
      <w:pPr>
        <w:jc w:val="both"/>
      </w:pPr>
      <w:r>
        <w:rPr>
          <w:color w:val="0B0B0B"/>
        </w:rPr>
        <w:t xml:space="preserve">По капиталу и ликвидности такая разметка в Банке </w:t>
      </w:r>
      <w:r>
        <w:rPr>
          <w:b/>
          <w:color w:val="0B0B0B"/>
        </w:rPr>
        <w:t>уже существует</w:t>
      </w:r>
      <w:r>
        <w:rPr>
          <w:color w:val="0B0B0B"/>
        </w:rPr>
        <w:t xml:space="preserve"> — Приложение № 2 к Методике определения и расчёта агрегированных уровней риск-аппетита задаёт зелёную, жёлтую и красную зоны для ACARI, ALRI и их составляющих. Настоящая записка распространяет ту же логику на кредитный риск, наследуя названия и определения зон.</w:t>
      </w:r>
    </w:p>
    <w:p>
      <w:pPr>
        <w:pStyle w:val="Heading2"/>
      </w:pPr>
      <w:r>
        <w:t>3. Метрика топ-20 и что с ней произошло</w:t>
      </w:r>
    </w:p>
    <w:p>
      <w:pPr>
        <w:jc w:val="both"/>
      </w:pPr>
      <w:r>
        <w:rPr>
          <w:color w:val="0B0B0B"/>
        </w:rPr>
        <w:t xml:space="preserve">Коэффициент отношения суммы двадцати крупнейших заёмщиков к собственному капиталу. Уровень — не более 95 %, установлен Приложением № 3 к Политике. </w:t>
      </w:r>
      <w:r>
        <w:rPr>
          <w:b/>
          <w:color w:val="0B0B0B"/>
        </w:rPr>
        <w:t>Ни один нормативный правовой акт этого числа не задаёт</w:t>
      </w:r>
      <w:r>
        <w:rPr>
          <w:color w:val="0B0B0B"/>
        </w:rPr>
        <w:t>: k3 = 25 % и k3-1 = 10 % главы Нормативов № 85 ограничивают риск на одного заёмщика, а не на двадцать в совокупности.</w:t>
      </w:r>
    </w:p>
    <w:p>
      <w:pPr>
        <w:jc w:val="both"/>
      </w:pPr>
      <w:r>
        <w:rPr>
          <w:color w:val="0B0B0B"/>
        </w:rPr>
        <w:t xml:space="preserve">Происхождение уровня восстановлено: с 11.05.2016 по 13.02.2023 он составлял 250 %, с 20.02.2023 — 95 %. Новое значение поставлено примерно на </w:t>
      </w:r>
      <w:r>
        <w:rPr>
          <w:b/>
          <w:color w:val="0B0B0B"/>
        </w:rPr>
        <w:t>семь стандартных отклонений выше тогдашнего максимума</w:t>
      </w:r>
      <w:r>
        <w:rPr>
          <w:color w:val="0B0B0B"/>
        </w:rPr>
        <w:t xml:space="preserve"> показателя 80,55 %. Это калибровка «от факта плюс запас», и она единственная восстановленная из двадцати пяти лимитов.</w:t>
      </w:r>
    </w:p>
    <w:p>
      <w:pPr>
        <w:jc w:val="both"/>
      </w:pPr>
      <w:r>
        <w:rPr>
          <w:b/>
          <w:color w:val="0B0B0B"/>
        </w:rPr>
        <w:t>Что изменилось.</w:t>
      </w:r>
      <w:r>
        <w:rPr>
          <w:color w:val="0B0B0B"/>
        </w:rPr>
        <w:t xml:space="preserve"> С 01.01.2026 изменилась база расчёта собственного капитала. Числитель метрики остался прежним, знаменатель стал другим, и коэффициент вырос механически — без изменения ни портфеля, ни концентрации. На 01.07.2026 он составляет </w:t>
      </w:r>
      <w:r>
        <w:rPr>
          <w:b/>
          <w:color w:val="0B0B0B"/>
        </w:rPr>
        <w:t>101,50 %</w:t>
      </w:r>
      <w:r>
        <w:rPr>
          <w:color w:val="0B0B0B"/>
        </w:rPr>
        <w:t>, и в выводах отчёта это записано как перелимит 6,50 пп.</w:t>
      </w:r>
    </w:p>
    <w:p>
      <w:pPr>
        <w:pStyle w:val="Heading2"/>
      </w:pPr>
      <w:r>
        <w:t>4. Развилка по уровню: вариантов три, а не два</w:t>
      </w:r>
    </w:p>
    <w:p>
      <w:pPr>
        <w:jc w:val="both"/>
      </w:pPr>
      <w:r>
        <w:rPr>
          <w:color w:val="0B0B0B"/>
        </w:rPr>
        <w:t>Это главный пункт записки, и он требует решения уполномоченного органа.</w:t>
      </w:r>
    </w:p>
    <w:p>
      <w:pPr>
        <w:jc w:val="both"/>
      </w:pPr>
      <w:r>
        <w:rPr>
          <w:b/>
          <w:color w:val="0B0B0B"/>
        </w:rPr>
        <w:t>Что обнаружено.</w:t>
      </w:r>
      <w:r>
        <w:rPr>
          <w:color w:val="0B0B0B"/>
        </w:rPr>
        <w:t xml:space="preserve"> Лист 50-1 формы 50 на 01.07.2026 содержит </w:t>
      </w:r>
      <w:r>
        <w:rPr>
          <w:b/>
          <w:color w:val="0B0B0B"/>
        </w:rPr>
        <w:t>две строки с названием «Собственный капитал»</w:t>
      </w:r>
      <w:r>
        <w:rPr>
          <w:color w:val="0B0B0B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Ячейка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Значение, млн ₸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Где используется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E11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442 346,331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знаменатель коэффициента топ-20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E38 = E52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550 245,387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знаменатель рыночного VaR и числитель k2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Разница — </w:t>
      </w:r>
      <w:r>
        <w:rPr>
          <w:b/>
          <w:color w:val="0B0B0B"/>
        </w:rPr>
        <w:t>107 899,056 млн ₸, то есть 24,39 %</w:t>
      </w:r>
      <w:r>
        <w:rPr>
          <w:color w:val="0B0B0B"/>
        </w:rPr>
        <w:t xml:space="preserve">. Что E52 есть собственный капитал в смысле достаточности капитала, доказывается прямо: </w:t>
      </w:r>
      <w:r>
        <w:rPr>
          <w:rFonts w:ascii="Consolas" w:hAnsi="Consolas"/>
          <w:color w:val="0B0B0B"/>
          <w:sz w:val="19"/>
        </w:rPr>
        <w:t>E52/E47 = 0,2762</w:t>
      </w:r>
      <w:r>
        <w:rPr>
          <w:color w:val="0B0B0B"/>
        </w:rPr>
        <w:t xml:space="preserve"> воспроизводит показанное в той же книге значение k2 = 0,276.</w:t>
      </w:r>
    </w:p>
    <w:p>
      <w:pPr>
        <w:jc w:val="both"/>
      </w:pPr>
      <w:r>
        <w:rPr>
          <w:b/>
          <w:color w:val="0B0B0B"/>
        </w:rPr>
        <w:t>Следствие: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Знаменатель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Коэффициент топ-20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Против уровня 95 %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E11 — тот, что применён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101,50 %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перелимит </w:t>
            </w:r>
            <w:r>
              <w:rPr>
                <w:b/>
                <w:color w:val="0B0B0B"/>
              </w:rPr>
              <w:t>+6,50 пп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E52 — тот, на котором считается k2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81,60 %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запас </w:t>
            </w:r>
            <w:r>
              <w:rPr>
                <w:b/>
                <w:color w:val="0B0B0B"/>
              </w:rPr>
              <w:t>+13,40 пп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Объявленный перелимит существует </w:t>
      </w:r>
      <w:r>
        <w:rPr>
          <w:b/>
          <w:color w:val="0B0B0B"/>
        </w:rPr>
        <w:t>только при одном из двух собственных капиталов, которыми пользуется этот же отчёт</w:t>
      </w:r>
      <w:r>
        <w:rPr>
          <w:color w:val="0B0B0B"/>
        </w:rPr>
        <w:t>.</w:t>
      </w:r>
    </w:p>
    <w:p>
      <w:pPr>
        <w:jc w:val="both"/>
      </w:pPr>
      <w:r>
        <w:rPr>
          <w:b/>
          <w:color w:val="0B0B0B"/>
        </w:rPr>
        <w:t>Три варианта, и все три должны быть вынесены: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Вариант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Что означает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Оставить как есть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95 %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признать перелимит 6,50 пп и запускать меры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Пересчитать уровень под новую базу капитала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108,63 %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95 % / 0,874525; метрика в жёлтой зоне, перелимита нет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Привести знаменатель к тому, которым пользуется остальной отчёт, и пересчитать уровень под него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118,17 %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95 % / 0,803907; метрика с запасом 13,40 пп</w:t>
            </w:r>
          </w:p>
        </w:tc>
      </w:tr>
    </w:tbl>
    <w:p/>
    <w:p>
      <w:pPr>
        <w:jc w:val="both"/>
      </w:pPr>
      <w:r>
        <w:rPr>
          <w:b/>
          <w:color w:val="0B0B0B"/>
        </w:rPr>
        <w:t>Сильнейшее возражение против вариантов 2 и 3.</w:t>
      </w:r>
      <w:r>
        <w:rPr>
          <w:color w:val="0B0B0B"/>
        </w:rPr>
        <w:t xml:space="preserve"> Пересчёт уровня снимает текущий перелимит. Если якорную дату или знаменатель выбирать после того, как посмотрели на факт, это подгонка уровня под результат, и служба внутреннего аудита вправе так и прочитать. Защита процедурная и единственная: якорь фиксируется </w:t>
      </w:r>
      <w:r>
        <w:rPr>
          <w:b/>
          <w:color w:val="0B0B0B"/>
        </w:rPr>
        <w:t>правилом</w:t>
      </w:r>
      <w:r>
        <w:rPr>
          <w:color w:val="0B0B0B"/>
        </w:rPr>
        <w:t xml:space="preserve"> — датой смены базы расчёта, — а не удобством, и в материалы выносятся </w:t>
      </w:r>
      <w:r>
        <w:rPr>
          <w:b/>
          <w:color w:val="0B0B0B"/>
        </w:rPr>
        <w:t>все три картины одновременно</w:t>
      </w:r>
      <w:r>
        <w:rPr>
          <w:color w:val="0B0B0B"/>
        </w:rPr>
        <w:t>. Без этого условия конструкцию выносить нельзя.</w:t>
      </w:r>
    </w:p>
    <w:p>
      <w:pPr>
        <w:jc w:val="both"/>
      </w:pPr>
      <w:r>
        <w:rPr>
          <w:b/>
          <w:color w:val="0B0B0B"/>
        </w:rPr>
        <w:t>Отдельно против варианта 3.</w:t>
      </w:r>
      <w:r>
        <w:rPr>
          <w:color w:val="0B0B0B"/>
        </w:rPr>
        <w:t xml:space="preserve"> Уровень 95 % откалиброван в 2023 году по истории, которая велась на знаменателе E11. Переход на E52 сдвинет весь ряд вниз примерно на 19,6 % и сделает уровень недостижимым — то есть воспроизведёт ровно ту болезнь, которую мы описываем в § 3: лимит, который не может сработать.</w:t>
      </w:r>
    </w:p>
    <w:p>
      <w:pPr>
        <w:jc w:val="both"/>
      </w:pPr>
      <w:r>
        <w:rPr>
          <w:b/>
          <w:color w:val="0B0B0B"/>
        </w:rPr>
        <w:t>Что нужно, чтобы выбрать.</w:t>
      </w:r>
      <w:r>
        <w:rPr>
          <w:color w:val="0B0B0B"/>
        </w:rPr>
        <w:t xml:space="preserve"> Один ответ владельца сводного отчёта: какой собственный капитал предусмотрен для метрики концентрации. Дальнейшие расчёты записки выполнены по варианту 2 как по срединному; при смене варианта меняются границы зон, логика разметки не меняется.</w:t>
      </w:r>
    </w:p>
    <w:p>
      <w:pPr>
        <w:pStyle w:val="Heading2"/>
      </w:pPr>
      <w:r>
        <w:t>5. Как размечаются зоны: запас времени вместо доли от лимита</w:t>
      </w:r>
    </w:p>
    <w:p>
      <w:pPr>
        <w:pStyle w:val="Heading3"/>
      </w:pPr>
      <w:r>
        <w:t>5.1 Почему не доля от лимита</w:t>
      </w:r>
    </w:p>
    <w:p>
      <w:pPr>
        <w:jc w:val="both"/>
      </w:pPr>
      <w:r>
        <w:rPr>
          <w:color w:val="0B0B0B"/>
        </w:rPr>
        <w:t xml:space="preserve">Простейший способ — поставить порог на 80–90 % от лимита. По топ-20 это даёт 76–85,5 % при историческом операционном коридоре метрики 66–84 %. Порог попадает </w:t>
      </w:r>
      <w:r>
        <w:rPr>
          <w:b/>
          <w:color w:val="0B0B0B"/>
        </w:rPr>
        <w:t>внутрь</w:t>
      </w:r>
      <w:r>
        <w:rPr>
          <w:color w:val="0B0B0B"/>
        </w:rPr>
        <w:t xml:space="preserve"> обычного поведения показателя и будет срабатывать постоянно. Метод неприменим по этой метрике — не «требует другого коэффициента», а неприменим.</w:t>
      </w:r>
    </w:p>
    <w:p>
      <w:pPr>
        <w:pStyle w:val="Heading3"/>
      </w:pPr>
      <w:r>
        <w:t>5.2 Запас времени</w:t>
      </w:r>
    </w:p>
    <w:p>
      <w:pPr>
        <w:jc w:val="both"/>
      </w:pPr>
      <w:r>
        <w:rPr>
          <w:color w:val="0B0B0B"/>
        </w:rPr>
        <w:t xml:space="preserve">Граница зоны ставится там, откуда метрика </w:t>
      </w:r>
      <w:r>
        <w:rPr>
          <w:b/>
          <w:color w:val="0B0B0B"/>
        </w:rPr>
        <w:t>успевает дойти до уровня за отведённый срок</w:t>
      </w:r>
      <w:r>
        <w:rPr>
          <w:color w:val="0B0B0B"/>
        </w:rPr>
        <w:t>. Величина хода за T месяцев:</w:t>
      </w:r>
    </w:p>
    <w:p>
      <w:pPr>
        <w:ind w:left="480"/>
      </w:pPr>
      <w:r>
        <w:rPr>
          <w:b/>
          <w:i/>
          <w:color w:val="5A5A5A"/>
        </w:rPr>
        <w:t>M(T) = z(p) · σ_Δ · √T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Множитель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это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Значение по топ-20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σ_Δ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стандартное отклонение месячных приращений метрики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4,0667 пп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√T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масштабирование хода на T месяцев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√1 и √4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z(p)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квантиль нормального распределения: насколько неблагоприятный ход закладываем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z(0,90) = 1,2816</w:t>
            </w:r>
          </w:p>
        </w:tc>
      </w:tr>
    </w:tbl>
    <w:p/>
    <w:p>
      <w:pPr>
        <w:jc w:val="both"/>
      </w:pPr>
      <w:r>
        <w:rPr>
          <w:b/>
          <w:color w:val="0B0B0B"/>
        </w:rPr>
        <w:t>z(0,90) = 1,2816</w:t>
      </w:r>
      <w:r>
        <w:rPr>
          <w:color w:val="0B0B0B"/>
        </w:rPr>
        <w:t xml:space="preserve"> означает: закладываем ход, который не будет превышен в девяти случаях из десяти. Не худший мыслимый и не средний — девятый дециль. Это управленческий выбор уровня консервативности, а не статистическая необходимость.</w:t>
      </w:r>
    </w:p>
    <w:p>
      <w:pPr>
        <w:jc w:val="both"/>
      </w:pPr>
      <w:r>
        <w:rPr>
          <w:b/>
          <w:color w:val="0B0B0B"/>
        </w:rPr>
        <w:t>√T — не наше изобретение.</w:t>
      </w:r>
      <w:r>
        <w:rPr>
          <w:color w:val="0B0B0B"/>
        </w:rPr>
        <w:t xml:space="preserve"> Масштабирование риска на срок по корню из времени применяется в банковском регулировании с 1996 года (Поправка к Базельскому соглашению по рыночным рискам: десятидневный горизонт получается умножением однодневного на √10) и сохранено в действующем стандарте FRTB при агрегировании по горизонтам ликвидности. ⚠ Ссылки приведены по существу; перед вынесением сверить редакции.</w:t>
      </w:r>
    </w:p>
    <w:p>
      <w:pPr>
        <w:jc w:val="both"/>
      </w:pPr>
      <w:r>
        <w:rPr>
          <w:b/>
          <w:color w:val="0B0B0B"/>
        </w:rPr>
        <w:t>T = 4 месяца</w:t>
      </w:r>
      <w:r>
        <w:rPr>
          <w:color w:val="0B0B0B"/>
        </w:rPr>
        <w:t xml:space="preserve"> — цикл реагирования: срок, за который мера успевает подействовать. </w:t>
      </w:r>
      <w:r>
        <w:rPr>
          <w:b/>
          <w:color w:val="0B0B0B"/>
        </w:rPr>
        <w:t>T = 1 месяц</w:t>
      </w:r>
      <w:r>
        <w:rPr>
          <w:color w:val="0B0B0B"/>
        </w:rPr>
        <w:t xml:space="preserve"> — период отчётности.</w:t>
      </w:r>
    </w:p>
    <w:p>
      <w:pPr>
        <w:pStyle w:val="Heading3"/>
      </w:pPr>
      <w:r>
        <w:t>5.3 Лестница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Зона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Условие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Граница по топ-20 при уровне 108,63 %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Смысл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Зелёная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x &lt; L − M(4)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 xml:space="preserve">ниже </w:t>
            </w:r>
            <w:r>
              <w:rPr>
                <w:b/>
                <w:color w:val="0B0B0B"/>
              </w:rPr>
              <w:t>98,21 %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до уровня больше четырёх месяцев хода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Жёлтая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L − M(4) ≤ x &lt; L − M(1)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98,21 — 103,42 %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от одного до четырёх месяцев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Красная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L − M(1) ≤ x &lt; L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103,42 — 108,63 %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меньше месяца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Нарушение лимита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x ≥ L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108,63 % и выше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—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Фактическое значение на 01.07.2026 — </w:t>
      </w:r>
      <w:r>
        <w:rPr>
          <w:b/>
          <w:color w:val="0B0B0B"/>
        </w:rPr>
        <w:t>101,50 %</w:t>
      </w:r>
      <w:r>
        <w:rPr>
          <w:color w:val="0B0B0B"/>
        </w:rPr>
        <w:t xml:space="preserve">, то есть </w:t>
      </w:r>
      <w:r>
        <w:rPr>
          <w:b/>
          <w:color w:val="0B0B0B"/>
        </w:rPr>
        <w:t>жёлтая зона</w:t>
      </w:r>
      <w:r>
        <w:rPr>
          <w:color w:val="0B0B0B"/>
        </w:rPr>
        <w:t>.</w:t>
      </w:r>
    </w:p>
    <w:p>
      <w:pPr>
        <w:pStyle w:val="Heading3"/>
      </w:pPr>
      <w:r>
        <w:t>5.4 Почему состояний четыре, а не три</w:t>
      </w:r>
    </w:p>
    <w:p>
      <w:pPr>
        <w:jc w:val="both"/>
      </w:pPr>
      <w:r>
        <w:rPr>
          <w:color w:val="0B0B0B"/>
        </w:rPr>
        <w:t>Названия и определения зон взяты дословно из Приложения № 2 к Методике агрегированных уровней и совпадают с п. 18 Правил № 86. Четвёртое состояние добавлено, и вот почему.</w:t>
      </w:r>
    </w:p>
    <w:p>
      <w:pPr>
        <w:jc w:val="both"/>
      </w:pPr>
      <w:r>
        <w:rPr>
          <w:color w:val="0B0B0B"/>
        </w:rPr>
        <w:t xml:space="preserve">В действующей схеме </w:t>
      </w:r>
      <w:r>
        <w:rPr>
          <w:b/>
          <w:color w:val="0B0B0B"/>
        </w:rPr>
        <w:t>лимит лежит внутри красной зоны</w:t>
      </w:r>
      <w:r>
        <w:rPr>
          <w:color w:val="0B0B0B"/>
        </w:rPr>
        <w:t>: по k1 красная — ниже 9,0 %, а лимит — 8,5 %. Значит при k1 = 8,9 % горит красный и при k1 = 7,0 % горит тот же красный: состояние «пробит» отдельно не выделено.</w:t>
      </w:r>
    </w:p>
    <w:p>
      <w:pPr>
        <w:jc w:val="both"/>
      </w:pPr>
      <w:r>
        <w:rPr>
          <w:b/>
          <w:color w:val="0B0B0B"/>
        </w:rPr>
        <w:t>Для капитала и ликвидности это не дефект.</w:t>
      </w:r>
      <w:r>
        <w:rPr>
          <w:color w:val="0B0B0B"/>
        </w:rPr>
        <w:t xml:space="preserve"> Их уровни привязаны к регуляторным требованиям: нарушение имеет внешние последствия и обслуживается пруденциальным режимом, а не системой риск-аппетита. Светофору незачем различать пробой — его различает надзор.</w:t>
      </w:r>
    </w:p>
    <w:p>
      <w:pPr>
        <w:jc w:val="both"/>
      </w:pPr>
      <w:r>
        <w:rPr>
          <w:b/>
          <w:color w:val="0B0B0B"/>
        </w:rPr>
        <w:t>У кредитных метрик такого механизма нет.</w:t>
      </w:r>
      <w:r>
        <w:rPr>
          <w:color w:val="0B0B0B"/>
        </w:rPr>
        <w:t xml:space="preserve"> Их лимиты — внутренняя отчётность по уровням риск-аппетита; регулятору они не направляются, и нарушение остаётся внутренним: нежелательным, но без внешнего принуждения. Значит последствие должна задать сама рамка, а задать его она может только через состояние.</w:t>
      </w:r>
    </w:p>
    <w:p>
      <w:pPr>
        <w:pStyle w:val="Heading2"/>
      </w:pPr>
      <w:r>
        <w:t>6. Второй уровень: триггеры на движение</w:t>
      </w:r>
    </w:p>
    <w:p>
      <w:pPr>
        <w:jc w:val="both"/>
      </w:pPr>
      <w:r>
        <w:rPr>
          <w:color w:val="0B0B0B"/>
        </w:rPr>
        <w:t xml:space="preserve">Зона смотрит на </w:t>
      </w:r>
      <w:r>
        <w:rPr>
          <w:b/>
          <w:color w:val="0B0B0B"/>
        </w:rPr>
        <w:t>значение</w:t>
      </w:r>
      <w:r>
        <w:rPr>
          <w:color w:val="0B0B0B"/>
        </w:rPr>
        <w:t xml:space="preserve">, триггер — на </w:t>
      </w:r>
      <w:r>
        <w:rPr>
          <w:b/>
          <w:color w:val="0B0B0B"/>
        </w:rPr>
        <w:t>скорость</w:t>
      </w:r>
      <w:r>
        <w:rPr>
          <w:color w:val="0B0B0B"/>
        </w:rPr>
        <w:t>. Один не заменяет другой, и это доказано на нашем же ряде.</w:t>
      </w:r>
    </w:p>
    <w:p>
      <w:pPr>
        <w:jc w:val="both"/>
      </w:pPr>
      <w:r>
        <w:rPr>
          <w:b/>
          <w:color w:val="0B0B0B"/>
        </w:rPr>
        <w:t>Январь 2026.</w:t>
      </w:r>
      <w:r>
        <w:rPr>
          <w:color w:val="0B0B0B"/>
        </w:rPr>
        <w:t xml:space="preserve"> Коэффициент вырос с 86,15 % до 95,85 % за один месяц. Причина — падение собственного капитала на </w:t>
      </w:r>
      <w:r>
        <w:rPr>
          <w:b/>
          <w:color w:val="0B0B0B"/>
        </w:rPr>
        <w:t>7,92 %</w:t>
      </w:r>
      <w:r>
        <w:rPr>
          <w:color w:val="0B0B0B"/>
        </w:rPr>
        <w:t xml:space="preserve">, а не рост портфеля. Никакая граница зоны выше 86,15 % этот месяц не предупредила бы: метрика вошла в него из глубокой зелёной зоны. На пересчитанной лестнице этот месяц вообще проходит как </w:t>
      </w:r>
      <w:r>
        <w:rPr>
          <w:b/>
          <w:color w:val="0B0B0B"/>
        </w:rPr>
        <w:t>зелёный</w:t>
      </w:r>
      <w:r>
        <w:rPr>
          <w:color w:val="0B0B0B"/>
        </w:rPr>
        <w:t xml:space="preserve"> — его ловит только триггер.</w:t>
      </w:r>
    </w:p>
    <w:p>
      <w:pPr>
        <w:jc w:val="both"/>
      </w:pPr>
      <w:r>
        <w:rPr>
          <w:b/>
          <w:color w:val="0B0B0B"/>
        </w:rPr>
        <w:t>Январь 2024.</w:t>
      </w:r>
      <w:r>
        <w:rPr>
          <w:color w:val="0B0B0B"/>
        </w:rPr>
        <w:t xml:space="preserve"> Коэффициент достиг 105,90 % при границе красной 103,42 % — единственный вход в красную зону за 36 месяцев. Его, наоборот, поймала зона, а не триггер.</w:t>
      </w:r>
    </w:p>
    <w:p>
      <w:pPr>
        <w:jc w:val="both"/>
      </w:pPr>
      <w:r>
        <w:rPr>
          <w:color w:val="0B0B0B"/>
        </w:rPr>
        <w:t>Один случай пойман только триггером, другой — только зоной. Поэтому в конструкции оба.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Триггер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ловит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Определение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T1 — скачок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один месяц съел весь месячный запас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приращение за месяц ≥ M(1)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T2 — разгон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ход, съевший запас целого цикла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изменение за 4 месяца ≥ M(4)</w:t>
            </w:r>
          </w:p>
        </w:tc>
      </w:tr>
    </w:tbl>
    <w:p/>
    <w:p>
      <w:pPr>
        <w:jc w:val="both"/>
      </w:pPr>
      <w:r>
        <w:rPr>
          <w:b/>
          <w:color w:val="0B0B0B"/>
        </w:rPr>
        <w:t>Проверка на данных, и она важна.</w:t>
      </w:r>
      <w:r>
        <w:rPr>
          <w:color w:val="0B0B0B"/>
        </w:rPr>
        <w:t xml:space="preserve"> По десяти метрикам, размеченным методом запаса времени, на 320 наблюдениях «метрика × месяц»: T1 сработал 24 раза, из них </w:t>
      </w:r>
      <w:r>
        <w:rPr>
          <w:b/>
          <w:color w:val="0B0B0B"/>
        </w:rPr>
        <w:t>23 — в зелёной зоне</w:t>
      </w:r>
      <w:r>
        <w:rPr>
          <w:color w:val="0B0B0B"/>
        </w:rPr>
        <w:t xml:space="preserve">; T2 сработал 17 раз, из них </w:t>
      </w:r>
      <w:r>
        <w:rPr>
          <w:b/>
          <w:color w:val="0B0B0B"/>
        </w:rPr>
        <w:t>15 — в зелёной</w:t>
      </w:r>
      <w:r>
        <w:rPr>
          <w:color w:val="0B0B0B"/>
        </w:rPr>
        <w:t xml:space="preserve">. Зона за те же 36 месяцев ухудшилась </w:t>
      </w:r>
      <w:r>
        <w:rPr>
          <w:b/>
          <w:color w:val="0B0B0B"/>
        </w:rPr>
        <w:t>дважды</w:t>
      </w:r>
      <w:r>
        <w:rPr>
          <w:color w:val="0B0B0B"/>
        </w:rPr>
        <w:t>. Триггеры не дублируют зону — они несут почти весь сигнал.</w:t>
      </w:r>
    </w:p>
    <w:p>
      <w:pPr>
        <w:jc w:val="both"/>
      </w:pPr>
      <w:r>
        <w:rPr>
          <w:b/>
          <w:color w:val="0B0B0B"/>
        </w:rPr>
        <w:t>Оговорка, которую нельзя опускать.</w:t>
      </w:r>
      <w:r>
        <w:rPr>
          <w:color w:val="0B0B0B"/>
        </w:rPr>
        <w:t xml:space="preserve"> Порог </w:t>
      </w:r>
      <w:r>
        <w:rPr>
          <w:rFonts w:ascii="Consolas" w:hAnsi="Consolas"/>
          <w:color w:val="0B0B0B"/>
          <w:sz w:val="19"/>
        </w:rPr>
        <w:t>z(0,90)·σ_Δ</w:t>
      </w:r>
      <w:r>
        <w:rPr>
          <w:color w:val="0B0B0B"/>
        </w:rPr>
        <w:t xml:space="preserve"> есть по построению девятый дециль приращений и потому </w:t>
      </w:r>
      <w:r>
        <w:rPr>
          <w:b/>
          <w:color w:val="0B0B0B"/>
        </w:rPr>
        <w:t>обязан</w:t>
      </w:r>
      <w:r>
        <w:rPr>
          <w:color w:val="0B0B0B"/>
        </w:rPr>
        <w:t xml:space="preserve"> срабатывать примерно раз в десять месяцев независимо от того, происходит что-либо или нет: фактическая частота 6,9 % против расчётных 10 %. Это счётчик частоты, а не детектор события. Отсюда третье правило: информативно не одиночное срабатывание, а </w:t>
      </w:r>
      <w:r>
        <w:rPr>
          <w:b/>
          <w:color w:val="0B0B0B"/>
        </w:rPr>
        <w:t>совпадение</w:t>
      </w:r>
      <w:r>
        <w:rPr>
          <w:color w:val="0B0B0B"/>
        </w:rPr>
        <w:t xml:space="preserve"> — три и более метрик в одном месяце, что на истории составляет 6 месяцев из 32.</w:t>
      </w:r>
    </w:p>
    <w:p>
      <w:pPr>
        <w:pStyle w:val="Heading2"/>
      </w:pPr>
      <w:r>
        <w:t>7. Применимость метода к остальным одиннадцати метрикам</w:t>
      </w:r>
    </w:p>
    <w:p>
      <w:pPr>
        <w:pStyle w:val="Heading3"/>
      </w:pPr>
      <w:r>
        <w:t>7.1 Что проверялось</w:t>
      </w:r>
    </w:p>
    <w:p>
      <w:pPr>
        <w:jc w:val="both"/>
      </w:pPr>
      <w:r>
        <w:rPr>
          <w:color w:val="0B0B0B"/>
        </w:rPr>
        <w:t xml:space="preserve">Формула M(T) опирается на нормальное распределение. Проверка приращений всех двенадцати метрик тремя критериями даёт: </w:t>
      </w:r>
      <w:r>
        <w:rPr>
          <w:b/>
          <w:color w:val="0B0B0B"/>
        </w:rPr>
        <w:t>формально нормальны три</w:t>
      </w:r>
      <w:r>
        <w:rPr>
          <w:color w:val="0B0B0B"/>
        </w:rPr>
        <w:t xml:space="preserve"> — топ-20, EL по обеспеченным и EL по прочим. Худшая — CoR по КБ/ПБ: асимметрия −2,12, эксцесс 12,50.</w:t>
      </w:r>
    </w:p>
    <w:p>
      <w:pPr>
        <w:pStyle w:val="Heading3"/>
      </w:pPr>
      <w:r>
        <w:t>7.2 Почему формальная проверка не решает</w:t>
      </w:r>
    </w:p>
    <w:p>
      <w:pPr>
        <w:jc w:val="both"/>
      </w:pPr>
      <w:r>
        <w:rPr>
          <w:color w:val="0B0B0B"/>
        </w:rPr>
        <w:t xml:space="preserve">M(T) опирается не на одно приращение, а на </w:t>
      </w:r>
      <w:r>
        <w:rPr>
          <w:b/>
          <w:color w:val="0B0B0B"/>
        </w:rPr>
        <w:t>сумму T приращений</w:t>
      </w:r>
      <w:r>
        <w:rPr>
          <w:color w:val="0B0B0B"/>
        </w:rPr>
        <w:t>. По центральной предельной теореме сумма ближе к нормальной, чем слагаемые, — и чем больше T, тем ближе.</w:t>
      </w:r>
    </w:p>
    <w:p>
      <w:pPr>
        <w:jc w:val="both"/>
      </w:pPr>
      <w:r>
        <w:rPr>
          <w:b/>
          <w:color w:val="0B0B0B"/>
        </w:rPr>
        <w:t>Но опираться на это нельзя, и мы не опираемся.</w:t>
      </w:r>
      <w:r>
        <w:rPr>
          <w:color w:val="0B0B0B"/>
        </w:rPr>
        <w:t xml:space="preserve"> Теорема говорит о пределе при T → ∞, а у нас T = 4. Количественная оценка погрешности (неравенство Берри — Эссеена) при таких T даёт границу порядка ±46 процентных пунктов: теорема на нашем горизонте </w:t>
      </w:r>
      <w:r>
        <w:rPr>
          <w:b/>
          <w:color w:val="0B0B0B"/>
        </w:rPr>
        <w:t>не гарантирует ничего</w:t>
      </w:r>
      <w:r>
        <w:rPr>
          <w:color w:val="0B0B0B"/>
        </w:rPr>
        <w:t>. Она объясняет направление, но не даёт права.</w:t>
      </w:r>
    </w:p>
    <w:p>
      <w:pPr>
        <w:pStyle w:val="Heading3"/>
      </w:pPr>
      <w:r>
        <w:t>7.3 Что решает на самом деле</w:t>
      </w:r>
    </w:p>
    <w:p>
      <w:pPr>
        <w:jc w:val="both"/>
      </w:pPr>
      <w:r>
        <w:rPr>
          <w:color w:val="0B0B0B"/>
        </w:rPr>
        <w:t xml:space="preserve">Прямое сравнение: совпадает ли </w:t>
      </w:r>
      <w:r>
        <w:rPr>
          <w:rFonts w:ascii="Consolas" w:hAnsi="Consolas"/>
          <w:color w:val="0B0B0B"/>
          <w:sz w:val="19"/>
        </w:rPr>
        <w:t>z·σ·√T</w:t>
      </w:r>
      <w:r>
        <w:rPr>
          <w:color w:val="0B0B0B"/>
        </w:rPr>
        <w:t xml:space="preserve"> с </w:t>
      </w:r>
      <w:r>
        <w:rPr>
          <w:b/>
          <w:color w:val="0B0B0B"/>
        </w:rPr>
        <w:t>эмпирическим девятым децилем фактических T-месячных изменений</w:t>
      </w:r>
      <w:r>
        <w:rPr>
          <w:color w:val="0B0B0B"/>
        </w:rPr>
        <w:t xml:space="preserve"> каждой метрики. Результат:</w:t>
      </w:r>
    </w:p>
    <w:p>
      <w:pPr>
        <w:pStyle w:val="ListBullet"/>
      </w:pPr>
      <w:r>
        <w:rPr>
          <w:color w:val="0B0B0B"/>
        </w:rPr>
        <w:t xml:space="preserve">модель </w:t>
      </w:r>
      <w:r>
        <w:rPr>
          <w:b/>
          <w:color w:val="0B0B0B"/>
        </w:rPr>
        <w:t>нигде не занижает</w:t>
      </w:r>
      <w:r>
        <w:rPr>
          <w:color w:val="0B0B0B"/>
        </w:rPr>
        <w:t xml:space="preserve"> буфер — она его завышает;</w:t>
      </w:r>
    </w:p>
    <w:p>
      <w:pPr>
        <w:pStyle w:val="ListBullet"/>
      </w:pPr>
      <w:r>
        <w:rPr>
          <w:color w:val="0B0B0B"/>
        </w:rPr>
        <w:t xml:space="preserve">причина завышения не в хвостах распределения, а в </w:t>
      </w:r>
      <w:r>
        <w:rPr>
          <w:b/>
          <w:color w:val="0B0B0B"/>
        </w:rPr>
        <w:t>сносе</w:t>
      </w:r>
      <w:r>
        <w:rPr>
          <w:color w:val="0B0B0B"/>
        </w:rPr>
        <w:t>: EL и PD падают три года</w:t>
      </w:r>
    </w:p>
    <w:p>
      <w:pPr>
        <w:jc w:val="both"/>
      </w:pPr>
      <w:r>
        <w:rPr>
          <w:color w:val="0B0B0B"/>
        </w:rPr>
        <w:t>подряд, а M(T) считает снос нулевым;</w:t>
      </w:r>
    </w:p>
    <w:p>
      <w:pPr>
        <w:pStyle w:val="ListBullet"/>
      </w:pPr>
      <w:r>
        <w:rPr>
          <w:color w:val="0B0B0B"/>
        </w:rPr>
        <w:t xml:space="preserve">снос в зачёт </w:t>
      </w:r>
      <w:r>
        <w:rPr>
          <w:b/>
          <w:color w:val="0B0B0B"/>
        </w:rPr>
        <w:t>сознательно не берётся</w:t>
      </w:r>
      <w:r>
        <w:rPr>
          <w:color w:val="0B0B0B"/>
        </w:rPr>
        <w:t xml:space="preserve"> — иначе зона опиралась бы на предположение</w:t>
      </w:r>
    </w:p>
    <w:p>
      <w:pPr>
        <w:jc w:val="both"/>
      </w:pPr>
      <w:r>
        <w:rPr>
          <w:color w:val="0B0B0B"/>
        </w:rPr>
        <w:t>о продолжении благоприятной тенденции.</w:t>
      </w:r>
    </w:p>
    <w:p>
      <w:pPr>
        <w:jc w:val="both"/>
      </w:pPr>
      <w:r>
        <w:rPr>
          <w:b/>
          <w:color w:val="0B0B0B"/>
        </w:rPr>
        <w:t>Метод пригоден для одиннадцати метрик из двенадцати.</w:t>
      </w:r>
    </w:p>
    <w:p>
      <w:pPr>
        <w:pStyle w:val="Heading3"/>
      </w:pPr>
      <w:r>
        <w:t>7.4 Единственная замена</w:t>
      </w:r>
    </w:p>
    <w:p>
      <w:pPr>
        <w:jc w:val="both"/>
      </w:pPr>
      <w:r>
        <w:rPr>
          <w:color w:val="0B0B0B"/>
        </w:rPr>
        <w:t xml:space="preserve">CoR по КБ/ПБ: M(4) = 3,2850 при уровне 3,00. Буфер на цикл больше всего уровня, граница зелёной зоны уходит в минус — зона </w:t>
      </w:r>
      <w:r>
        <w:rPr>
          <w:b/>
          <w:color w:val="0B0B0B"/>
        </w:rPr>
        <w:t>вырождается арифметически</w:t>
      </w:r>
      <w:r>
        <w:rPr>
          <w:color w:val="0B0B0B"/>
        </w:rPr>
        <w:t>. Причина не в форме распределения, а в величине волатильности относительно уровня.</w:t>
      </w:r>
    </w:p>
    <w:p>
      <w:pPr>
        <w:jc w:val="both"/>
      </w:pPr>
      <w:r>
        <w:rPr>
          <w:color w:val="0B0B0B"/>
        </w:rPr>
        <w:t xml:space="preserve">Для этой метрики зоны считаются </w:t>
      </w:r>
      <w:r>
        <w:rPr>
          <w:b/>
          <w:color w:val="0B0B0B"/>
        </w:rPr>
        <w:t>эмпирическим квантилем</w:t>
      </w:r>
      <w:r>
        <w:rPr>
          <w:color w:val="0B0B0B"/>
        </w:rPr>
        <w:t xml:space="preserve"> фактических изменений (подход, применяемый в банковском регулировании как историческая симуляция) с разделением по календарным режимам: волатильность CoR в феврале-марте отличается от остальных месяцев в </w:t>
      </w:r>
      <w:r>
        <w:rPr>
          <w:b/>
          <w:color w:val="0B0B0B"/>
        </w:rPr>
        <w:t>5,04 раза</w:t>
      </w:r>
      <w:r>
        <w:rPr>
          <w:color w:val="0B0B0B"/>
        </w:rPr>
        <w:t xml:space="preserve"> по КБ/ПБ и в 4,86 по МСБ, тогда как у остальных десяти метрик это отношение не превышает 1,76.</w:t>
      </w:r>
    </w:p>
    <w:p>
      <w:pPr>
        <w:jc w:val="both"/>
      </w:pPr>
      <w:r>
        <w:rPr>
          <w:b/>
          <w:color w:val="0B0B0B"/>
        </w:rPr>
        <w:t>Оговорка, снимающая обе метрики CoR с защиты.</w:t>
      </w:r>
      <w:r>
        <w:rPr>
          <w:color w:val="0B0B0B"/>
        </w:rPr>
        <w:t xml:space="preserve"> Природа ряда CoR не установлена: в отчёте он назван «текущим годовым уровнем», что исключает прочтение «расход за месяц», но оставляет два других. На всех листах формы 50 CoR — </w:t>
      </w:r>
      <w:r>
        <w:rPr>
          <w:b/>
          <w:color w:val="0B0B0B"/>
        </w:rPr>
        <w:t>вписанные числа без формулы</w:t>
      </w:r>
      <w:r>
        <w:rPr>
          <w:color w:val="0B0B0B"/>
        </w:rPr>
        <w:t xml:space="preserve">, в отличие от EL и PD, которые являются внешними ссылками. До ответа владельца расчёта разметка обеих метрик CoR </w:t>
      </w:r>
      <w:r>
        <w:rPr>
          <w:b/>
          <w:color w:val="0B0B0B"/>
        </w:rPr>
        <w:t>предварительна</w:t>
      </w:r>
      <w:r>
        <w:rPr>
          <w:color w:val="0B0B0B"/>
        </w:rPr>
        <w:t>.</w:t>
      </w:r>
    </w:p>
    <w:p>
      <w:pPr>
        <w:pStyle w:val="Heading2"/>
      </w:pPr>
      <w:r>
        <w:t>8. Меры реагирования: сорок восемь случаев, пять уровней</w:t>
      </w:r>
    </w:p>
    <w:p>
      <w:pPr>
        <w:jc w:val="both"/>
      </w:pPr>
      <w:r>
        <w:rPr>
          <w:b/>
          <w:color w:val="0B0B0B"/>
        </w:rPr>
        <w:t>Состояние</w:t>
      </w:r>
      <w:r>
        <w:rPr>
          <w:color w:val="0B0B0B"/>
        </w:rPr>
        <w:t xml:space="preserve"> = зона × сочетание триггеров. Четыре зоны × четыре сочетания = </w:t>
      </w:r>
      <w:r>
        <w:rPr>
          <w:b/>
          <w:color w:val="0B0B0B"/>
        </w:rPr>
        <w:t>16 состояний</w:t>
      </w:r>
      <w:r>
        <w:rPr>
          <w:color w:val="0B0B0B"/>
        </w:rPr>
        <w:t xml:space="preserve">. Каждое умножается на три фазы — вход, удержание, выход — итого </w:t>
      </w:r>
      <w:r>
        <w:rPr>
          <w:b/>
          <w:color w:val="0B0B0B"/>
        </w:rPr>
        <w:t>48 случаев</w:t>
      </w:r>
      <w:r>
        <w:rPr>
          <w:color w:val="0B0B0B"/>
        </w:rPr>
        <w:t>, и все перебраны, чтобы ни один нельзя было пропустить молча.</w:t>
      </w:r>
    </w:p>
    <w:p>
      <w:pPr>
        <w:jc w:val="both"/>
      </w:pPr>
      <w:r>
        <w:rPr>
          <w:b/>
          <w:color w:val="0B0B0B"/>
        </w:rPr>
        <w:t>Отображение в уровень</w:t>
      </w:r>
      <w:r>
        <w:rPr>
          <w:color w:val="0B0B0B"/>
        </w:rPr>
        <w:t xml:space="preserve"> по правилу: зона задаёт базовый уровень, каждый сработавший триггер поднимает на ступень, выше R4 не поднимается.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0B0B0B"/>
              </w:rPr>
              <w:t>Зона \ триггеры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ни одного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только T1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только T2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оба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Зелёная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R0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Жёлтая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Красная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Нарушение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R4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Кто действует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Форма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Срок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R0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наблюдение в обычном режиме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владелец метрики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строка в отчёте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ежемесячно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учащённое наблюдение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владелец метрики + БРМ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еженедельный расчёт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до выхода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разбор причины движения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БРМ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письменно: числитель / знаменатель / параметр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5 раб. дней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эскалация и план устранения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БРМ → КУР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план со сроком и ответственным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10 раб. дней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протокол нарушения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КУР → Правление / СД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уведомление, план, отчёт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по процедуре</w:t>
            </w:r>
          </w:p>
        </w:tc>
      </w:tr>
    </w:tbl>
    <w:p/>
    <w:p>
      <w:pPr>
        <w:jc w:val="both"/>
      </w:pPr>
      <w:r>
        <w:rPr>
          <w:b/>
          <w:color w:val="0B0B0B"/>
        </w:rPr>
        <w:t>Почему уровней пять, а не сорок восемь.</w:t>
      </w:r>
      <w:r>
        <w:rPr>
          <w:color w:val="0B0B0B"/>
        </w:rPr>
        <w:t xml:space="preserve"> Полнота случаев и различимость ответов — разные вещи. За 36 месяцев по двенадцати метрикам </w:t>
      </w:r>
      <w:r>
        <w:rPr>
          <w:b/>
          <w:color w:val="0B0B0B"/>
        </w:rPr>
        <w:t>одно</w:t>
      </w:r>
      <w:r>
        <w:rPr>
          <w:color w:val="0B0B0B"/>
        </w:rPr>
        <w:t xml:space="preserve"> превышение лимита и </w:t>
      </w:r>
      <w:r>
        <w:rPr>
          <w:b/>
          <w:color w:val="0B0B0B"/>
        </w:rPr>
        <w:t>ни одного</w:t>
      </w:r>
      <w:r>
        <w:rPr>
          <w:color w:val="0B0B0B"/>
        </w:rPr>
        <w:t xml:space="preserve"> признанного реализовавшегося риска. Сорок восемь различных по строгости ответов на таком материале были бы утверждением о различиях, которых данные не показывают.</w:t>
      </w:r>
    </w:p>
    <w:p>
      <w:pPr>
        <w:jc w:val="both"/>
      </w:pPr>
      <w:r>
        <w:rPr>
          <w:b/>
          <w:color w:val="0B0B0B"/>
        </w:rPr>
        <w:t>Пять правил перехода</w:t>
      </w:r>
      <w:r>
        <w:rPr>
          <w:color w:val="0B0B0B"/>
        </w:rPr>
        <w:t xml:space="preserve">, действующих поперёк состояний: вход немедленный; выход через гистерезис в N периодов; срабатывание триггера держит уровень не ниже R1 два месяца; два периода в жёлтой без улучшения выводятся </w:t>
      </w:r>
      <w:r>
        <w:rPr>
          <w:b/>
          <w:color w:val="0B0B0B"/>
        </w:rPr>
        <w:t>на пересмотр уровня, а не на меру</w:t>
      </w:r>
      <w:r>
        <w:rPr>
          <w:color w:val="0B0B0B"/>
        </w:rPr>
        <w:t>; три и более метрик в одном месяце разбираются одним разбором, а не четырьмя.</w:t>
      </w:r>
    </w:p>
    <w:p>
      <w:pPr>
        <w:jc w:val="both"/>
      </w:pPr>
      <w:r>
        <w:rPr>
          <w:b/>
          <w:color w:val="0B0B0B"/>
        </w:rPr>
        <w:t>Проверка конструкции — прогон назад по истории.</w:t>
      </w:r>
      <w:r>
        <w:rPr>
          <w:color w:val="0B0B0B"/>
        </w:rPr>
        <w:t xml:space="preserve"> На 320 наблюдениях: R0 — 88,1 % времени, R1 — 9,4 %, R2 — 2,2 %, </w:t>
      </w:r>
      <w:r>
        <w:rPr>
          <w:b/>
          <w:color w:val="0B0B0B"/>
        </w:rPr>
        <w:t>R3 — один раз</w:t>
      </w:r>
      <w:r>
        <w:rPr>
          <w:color w:val="0B0B0B"/>
        </w:rPr>
        <w:t xml:space="preserve"> (январь 2024, топ-20), R4 — ни разу. Машина не шумит и не молчит всегда.</w:t>
      </w:r>
    </w:p>
    <w:p>
      <w:pPr>
        <w:jc w:val="both"/>
      </w:pPr>
      <w:r>
        <w:rPr>
          <w:b/>
          <w:color w:val="0B0B0B"/>
        </w:rPr>
        <w:t>Возражение против этой проверки, и его надо произнести первым.</w:t>
      </w:r>
      <w:r>
        <w:rPr>
          <w:color w:val="0B0B0B"/>
        </w:rPr>
        <w:t xml:space="preserve"> Один эпизод R3 — это одно наблюдение, а не подтверждение калибровки. Прогон доказывает, что конструкция даёт обозримую нагрузку; он </w:t>
      </w:r>
      <w:r>
        <w:rPr>
          <w:b/>
          <w:color w:val="0B0B0B"/>
        </w:rPr>
        <w:t>не доказывает</w:t>
      </w:r>
      <w:r>
        <w:rPr>
          <w:color w:val="0B0B0B"/>
        </w:rPr>
        <w:t>, что порог эскалации стоит в правильном месте. Для этого нужны исходы, а их нет.</w:t>
      </w:r>
    </w:p>
    <w:p>
      <w:pPr>
        <w:jc w:val="both"/>
      </w:pPr>
      <w:r>
        <w:rPr>
          <w:b/>
          <w:color w:val="0B0B0B"/>
        </w:rPr>
        <w:t>Содержание мер</w:t>
      </w:r>
      <w:r>
        <w:rPr>
          <w:color w:val="0B0B0B"/>
        </w:rPr>
        <w:t xml:space="preserve"> составляется владельцем процедур и берётся из действующих процедур системы управления рисками, а не изобретается в записке. Форма для заполнения — приложение «Шаблон мер реагирования», 48 строк.</w:t>
      </w:r>
    </w:p>
    <w:p>
      <w:pPr>
        <w:pStyle w:val="Heading2"/>
      </w:pPr>
      <w:r>
        <w:t>9. Что обнаружено в действующей отчётности</w:t>
      </w:r>
    </w:p>
    <w:p>
      <w:pPr>
        <w:jc w:val="both"/>
      </w:pPr>
      <w:r>
        <w:rPr>
          <w:color w:val="0B0B0B"/>
        </w:rPr>
        <w:t>Эти находки получены при разборе формы 50 и не были целью работы. Каждая опирается на формулу или ячейку и проверяется без нашего участия.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Чем доказано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Агрегаты не замечают обнуления собственной компоненты.</w:t>
            </w:r>
            <w:r>
              <w:rPr>
                <w:color w:val="0B0B0B"/>
              </w:rPr>
              <w:t xml:space="preserve"> ACARI и ALRI считаются как среднее арифметическое трёх коэффициентов разного масштаба. При k1 = 0 ACARI = 15,90 % и остаётся </w:t>
            </w:r>
            <w:r>
              <w:rPr>
                <w:b/>
                <w:color w:val="0B0B0B"/>
              </w:rPr>
              <w:t>зелёным</w:t>
            </w:r>
            <w:r>
              <w:rPr>
                <w:color w:val="0B0B0B"/>
              </w:rPr>
              <w:t xml:space="preserve"> (граница 15,0); при HLA = 0 ALRI = 118,28 % и остаётся </w:t>
            </w:r>
            <w:r>
              <w:rPr>
                <w:b/>
                <w:color w:val="0B0B0B"/>
              </w:rPr>
              <w:t>зелёным</w:t>
            </w:r>
            <w:r>
              <w:rPr>
                <w:color w:val="0B0B0B"/>
              </w:rPr>
              <w:t xml:space="preserve"> (граница 100). Вклад в сумму ALRI: LCR 51,7 %, NSFR 38,9 %, HLA 9,4 %. Обратный дефект симметричен: когда все три компоненты стоят ровно на своих лимитах, агрегат </w:t>
            </w:r>
            <w:r>
              <w:rPr>
                <w:b/>
                <w:color w:val="0B0B0B"/>
              </w:rPr>
              <w:t>краснеет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формулы E44, E55; пределы Приложения № 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Запас усекается на нуле.</w:t>
            </w:r>
            <w:r>
              <w:rPr>
                <w:color w:val="0B0B0B"/>
              </w:rPr>
              <w:t xml:space="preserve"> Правило «Запас = лимит − max(факт, 0)» записано формулой: при отрицательном факте показывается сам лимит. Воспроизводится текстом отчёта: «CoR по КБ −0,35 % при лимите 3,0 %. </w:t>
            </w:r>
            <w:r>
              <w:rPr>
                <w:b/>
                <w:color w:val="0B0B0B"/>
              </w:rPr>
              <w:t>Запас: 3,0 %</w:t>
            </w:r>
            <w:r>
              <w:rPr>
                <w:color w:val="0B0B0B"/>
              </w:rPr>
              <w:t>» против нормального вычитания в соседней строке по МСБ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формула H18 листа 50-1; 22 значения из 22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Четыре ячейки отчёта возвращают ошибку.</w:t>
            </w:r>
            <w:r>
              <w:rPr>
                <w:color w:val="0B0B0B"/>
              </w:rPr>
              <w:t xml:space="preserve"> Запас и сумма запаса по k1 и k1-2 содержат </w:t>
            </w:r>
            <w:r>
              <w:rPr>
                <w:rFonts w:ascii="Consolas" w:hAnsi="Consolas"/>
                <w:color w:val="0B0B0B"/>
                <w:sz w:val="19"/>
              </w:rPr>
              <w:t>#VALUE!</w:t>
            </w:r>
            <w:r>
              <w:rPr>
                <w:color w:val="0B0B0B"/>
              </w:rPr>
              <w:t xml:space="preserve">. Лимит разбирается обрезкой текстовой строки </w:t>
            </w:r>
            <w:r>
              <w:rPr>
                <w:rFonts w:ascii="Consolas" w:hAnsi="Consolas"/>
                <w:color w:val="0B0B0B"/>
                <w:sz w:val="19"/>
              </w:rPr>
              <w:t>MID(G45;10;4)</w:t>
            </w:r>
            <w:r>
              <w:rPr>
                <w:color w:val="0B0B0B"/>
              </w:rPr>
              <w:t xml:space="preserve"> из «не менее 8,5%» и ломается на первой десятичной запятой; у соседних метрик тот же приём срабатывает случайно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ячейки H45, I45, H48, I48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Один лимит записан двумя числами.</w:t>
            </w:r>
            <w:r>
              <w:rPr>
                <w:color w:val="0B0B0B"/>
              </w:rPr>
              <w:t xml:space="preserve"> CoR по МСБ: 3,5 % на листе 50-1 и 3,3 % на листе 50-2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ячейка G25; строка B23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Другой лимит записан тремя числами.</w:t>
            </w:r>
            <w:r>
              <w:rPr>
                <w:color w:val="0B0B0B"/>
              </w:rPr>
              <w:t xml:space="preserve"> HLA: 20 % на форме, 25 % в пояснительной записке, 25 % как граница красной зоны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ячейка G56; текст записки; Приложение № 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Вывод не сходится с собственной ячейкой.</w:t>
            </w:r>
            <w:r>
              <w:rPr>
                <w:color w:val="0B0B0B"/>
              </w:rPr>
              <w:t xml:space="preserve"> Лист 50-2 называет наименьший запас по «обеспеченным денежным» кредитам при PD 5,10 %, тогда как в ячейке 5,0150 %, а такого продукта в перечне метрик нет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строка B17; ячейка H16</w:t>
            </w:r>
          </w:p>
        </w:tc>
      </w:tr>
    </w:tbl>
    <w:p/>
    <w:p>
      <w:pPr>
        <w:jc w:val="both"/>
      </w:pPr>
      <w:r>
        <w:rPr>
          <w:color w:val="0B0B0B"/>
        </w:rPr>
        <w:t>Ни одна из шести не является замечанием к оформлению: первые две меняют содержание показываемого, третья означает, что отчёт выносится на уполномоченный орган с ошибками вычисления.</w:t>
      </w:r>
    </w:p>
    <w:p>
      <w:pPr>
        <w:pStyle w:val="Heading2"/>
      </w:pPr>
      <w:r>
        <w:t>10. Что при этом подтвердилось</w:t>
      </w:r>
    </w:p>
    <w:p>
      <w:pPr>
        <w:jc w:val="both"/>
      </w:pPr>
      <w:r>
        <w:rPr>
          <w:color w:val="0B0B0B"/>
        </w:rPr>
        <w:t>Не всё найденное — дефекты. Два вопроса закрыты в пользу действующей конструкции.</w:t>
      </w:r>
    </w:p>
    <w:p>
      <w:pPr>
        <w:jc w:val="both"/>
      </w:pPr>
      <w:r>
        <w:rPr>
          <w:b/>
          <w:color w:val="0B0B0B"/>
        </w:rPr>
        <w:t>Мастер-шкала внутреннего кредитного рейтинга связана с расчётом провизий.</w:t>
      </w:r>
      <w:r>
        <w:rPr>
          <w:color w:val="0B0B0B"/>
        </w:rPr>
        <w:t xml:space="preserve"> Шкала 1–50 расшифрована документально: это матрица «рейтинг заёмщика 1–10 × рейтинг сделки I–V» из Приложения № 5.9 к Методике расчёта провизий по МСФО; уровень отсечения 33 совпадает со счётом приемлемых сочетаний (восемь рейтингов заёмщика × четыре рейтинга сделки, плюс 1V). Три полосы риска заданы там же. Составляющие считаются рейтинговыми моделями Приложений 5.6 и 5.8.</w:t>
      </w:r>
    </w:p>
    <w:p>
      <w:pPr>
        <w:jc w:val="both"/>
      </w:pPr>
      <w:r>
        <w:rPr>
          <w:b/>
          <w:color w:val="0B0B0B"/>
        </w:rPr>
        <w:t>Рейтинг входит в классификацию по стадиям, хотя и опосредованно.</w:t>
      </w:r>
      <w:r>
        <w:rPr>
          <w:color w:val="0B0B0B"/>
        </w:rPr>
        <w:t xml:space="preserve"> Критерием значительного увеличения кредитного риска является превышение LTPD PIT на 80 % относительно значения при первоначальном признании. Стадия определяется порогом по LTPD, а не рейтинговой группой напрямую; но LTPD не-розницы строится от рейтинга через исторические миграции.</w:t>
      </w:r>
    </w:p>
    <w:p>
      <w:pPr>
        <w:jc w:val="both"/>
      </w:pPr>
      <w:r>
        <w:rPr>
          <w:b/>
          <w:color w:val="0B0B0B"/>
        </w:rPr>
        <w:t>Следствие.</w:t>
      </w:r>
      <w:r>
        <w:rPr>
          <w:color w:val="0B0B0B"/>
        </w:rPr>
        <w:t xml:space="preserve"> Версия, по которой метрика кредитоспособности в риск-аппетите измеряет величину, которой нигде больше не управляют, </w:t>
      </w:r>
      <w:r>
        <w:rPr>
          <w:b/>
          <w:color w:val="0B0B0B"/>
        </w:rPr>
        <w:t>не подтверждается</w:t>
      </w:r>
      <w:r>
        <w:rPr>
          <w:color w:val="0B0B0B"/>
        </w:rPr>
        <w:t>: общими с провизиями являются шкала, обе её составляющие, три полосы и влияние на резервы. Специфичен для риск-аппетита только уровень отсечения — а собственный порог на общей шкале есть нормальное устройство системы риск-аппетита, а не её дефект.</w:t>
      </w:r>
    </w:p>
    <w:p>
      <w:pPr>
        <w:pStyle w:val="Heading2"/>
      </w:pPr>
      <w:r>
        <w:t>11. Что мы не знаем</w:t>
      </w:r>
    </w:p>
    <w:p>
      <w:pPr>
        <w:jc w:val="both"/>
      </w:pPr>
      <w:r>
        <w:rPr>
          <w:color w:val="0B0B0B"/>
        </w:rPr>
        <w:t>Раздел несокращаем. Документ, перечисляющий собственные пробелы, читается как расчёт, а не как позиция.</w:t>
      </w:r>
    </w:p>
    <w:p>
      <w:pPr>
        <w:pStyle w:val="ListNumber"/>
      </w:pPr>
      <w:r>
        <w:rPr>
          <w:b/>
          <w:color w:val="0B0B0B"/>
        </w:rPr>
        <w:t>Какой собственный капитал предусмотрен для метрики топ-20.</w:t>
      </w:r>
      <w:r>
        <w:rPr>
          <w:color w:val="0B0B0B"/>
        </w:rPr>
        <w:t xml:space="preserve"> От этого зависит,</w:t>
      </w:r>
    </w:p>
    <w:p>
      <w:pPr>
        <w:jc w:val="both"/>
      </w:pPr>
      <w:r>
        <w:rPr>
          <w:color w:val="0B0B0B"/>
        </w:rPr>
        <w:t>существует ли перелимит (§ 4).</w:t>
      </w:r>
    </w:p>
    <w:p>
      <w:pPr>
        <w:pStyle w:val="ListNumber"/>
      </w:pPr>
      <w:r>
        <w:rPr>
          <w:b/>
          <w:color w:val="0B0B0B"/>
        </w:rPr>
        <w:t>Чем является ряд CoR</w:t>
      </w:r>
      <w:r>
        <w:rPr>
          <w:color w:val="0B0B0B"/>
        </w:rPr>
        <w:t xml:space="preserve"> — расходом за период, годовым уровнем нарастающим итогом</w:t>
      </w:r>
    </w:p>
    <w:p>
      <w:pPr>
        <w:jc w:val="both"/>
      </w:pPr>
      <w:r>
        <w:rPr>
          <w:color w:val="0B0B0B"/>
        </w:rPr>
        <w:t>или скользящим годом. Формулы нет ни на одном листе. Разметка обеих метрик CoR предварительна.</w:t>
      </w:r>
    </w:p>
    <w:p>
      <w:pPr>
        <w:pStyle w:val="ListNumber"/>
      </w:pPr>
      <w:r>
        <w:rPr>
          <w:b/>
          <w:color w:val="0B0B0B"/>
        </w:rPr>
        <w:t>Причина календарной неоднородности волатильности CoR.</w:t>
      </w:r>
      <w:r>
        <w:rPr>
          <w:color w:val="0B0B0B"/>
        </w:rPr>
        <w:t xml:space="preserve"> Отношение 5,04 и 4,86 против</w:t>
      </w:r>
    </w:p>
    <w:p>
      <w:pPr>
        <w:jc w:val="both"/>
      </w:pPr>
      <w:r>
        <w:rPr>
          <w:color w:val="0B0B0B"/>
        </w:rPr>
        <w:t>не более 1,76 у остальных метрик установлено; объяснение — нет. Версий три, и при любой из них зоны CoR требуют пересчёта.</w:t>
      </w:r>
    </w:p>
    <w:p>
      <w:pPr>
        <w:pStyle w:val="ListNumber"/>
      </w:pPr>
      <w:r>
        <w:rPr>
          <w:b/>
          <w:color w:val="0B0B0B"/>
        </w:rPr>
        <w:t>Происхождение двадцати четырёх уровней из двадцати пяти.</w:t>
      </w:r>
      <w:r>
        <w:rPr>
          <w:color w:val="0B0B0B"/>
        </w:rPr>
        <w:t xml:space="preserve"> Восстановлен один,</w:t>
      </w:r>
    </w:p>
    <w:p>
      <w:pPr>
        <w:jc w:val="both"/>
      </w:pPr>
      <w:r>
        <w:rPr>
          <w:color w:val="0B0B0B"/>
        </w:rPr>
        <w:t>и он восстановлен как калибровка «от факта плюс запас».</w:t>
      </w:r>
    </w:p>
    <w:p>
      <w:pPr>
        <w:pStyle w:val="ListNumber"/>
      </w:pPr>
      <w:r>
        <w:rPr>
          <w:b/>
          <w:color w:val="0B0B0B"/>
        </w:rPr>
        <w:t>Связь уровней с риск-ёмкостью.</w:t>
      </w:r>
      <w:r>
        <w:rPr>
          <w:color w:val="0B0B0B"/>
        </w:rPr>
        <w:t xml:space="preserve"> Каскад «риск-ёмкость → риск-аппетит → лимит →</w:t>
      </w:r>
    </w:p>
    <w:p>
      <w:pPr>
        <w:jc w:val="both"/>
      </w:pPr>
      <w:r>
        <w:rPr>
          <w:color w:val="0B0B0B"/>
        </w:rPr>
        <w:t xml:space="preserve">допустимый уровень → мера → контроль» имеет целиком </w:t>
      </w:r>
      <w:r>
        <w:rPr>
          <w:b/>
          <w:color w:val="0B0B0B"/>
        </w:rPr>
        <w:t>одно звено из шести</w:t>
      </w:r>
      <w:r>
        <w:rPr>
          <w:color w:val="0B0B0B"/>
        </w:rPr>
        <w:t>. Отсутствуют первое, четвёртое и пятое.</w:t>
      </w:r>
    </w:p>
    <w:p>
      <w:pPr>
        <w:pStyle w:val="ListNumber"/>
      </w:pPr>
      <w:r>
        <w:rPr>
          <w:b/>
          <w:color w:val="0B0B0B"/>
        </w:rPr>
        <w:t>Точность сигнала.</w:t>
      </w:r>
      <w:r>
        <w:rPr>
          <w:color w:val="0B0B0B"/>
        </w:rPr>
        <w:t xml:space="preserve"> За 36 месяцев — одно превышение лимита и ни одного признанного</w:t>
      </w:r>
    </w:p>
    <w:p>
      <w:pPr>
        <w:jc w:val="both"/>
      </w:pPr>
      <w:r>
        <w:rPr>
          <w:color w:val="0B0B0B"/>
        </w:rPr>
        <w:t>реализовавшегося риска. Доказуема частота срабатывания, не доля верных сигналов.</w:t>
      </w:r>
    </w:p>
    <w:p>
      <w:pPr>
        <w:pStyle w:val="Heading2"/>
      </w:pPr>
      <w:r>
        <w:t>12. Что выносится на решение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Решение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Кто принимает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Знаменатель метрики топ-20 и, как следствие, уровень: 95 / 108,63 / 118,17 %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уполномоченный орган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Принять лестничную разметку с четырьмя состояниями и двумя триггерами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уполномоченный орган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Смена смысла числа 95.</w:t>
            </w:r>
            <w:r>
              <w:rPr>
                <w:color w:val="0B0B0B"/>
              </w:rPr>
              <w:t xml:space="preserve"> При лестничной разметке уровень 95 % выполняет роль риск-ёмкости, а уровнем риск-аппетита становится граница зелёной зоны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уполномоченный орган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Величина N в правиле выхода через гистерезис и порог панельного правила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уполномоченный орган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Перечень мер реагирования R0…R4 из действующих процедур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владелец процедур, утверждает УО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Направить владельцам отчёта и расчёта вопросы по § 11 пп. 1–3 и по § 9 пп. 3–6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подразделение по управлению рисками</w:t>
            </w:r>
          </w:p>
        </w:tc>
      </w:tr>
    </w:tbl>
    <w:p/>
    <w:p>
      <w:pPr>
        <w:pStyle w:val="Heading2"/>
      </w:pPr>
      <w:r>
        <w:t>Приложение. Карта источников — для того, кто защищает записку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Утверждение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Где проверить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442 346,331 и 550 245,387 млн ₸; k2 = E52/E47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форма 50, лист 50-1, ячейки E11, E38, E52, E47, E51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101,50 % и 81,60 %; перелимит 6,50 пп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лист 50-1, ячейки E9, E10; выводы листа 50-5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95 % / 0,874525 = 108,6304; 95 % / 0,803907 = 118,1728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DECOMPOSITION.md</w:t>
            </w:r>
            <w:r>
              <w:rPr>
                <w:color w:val="0B0B0B"/>
              </w:rPr>
              <w:t xml:space="preserve"> § 11 (Г26); отношение E11/E52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Уровень 250 % → 95 % с 20.02.2023; семь σ выше максимума 80,55 %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FINDINGS_RA.md</w:t>
            </w:r>
            <w:r>
              <w:rPr>
                <w:color w:val="0B0B0B"/>
              </w:rPr>
              <w:t xml:space="preserve">, Г17; </w:t>
            </w:r>
            <w:r>
              <w:rPr>
                <w:rFonts w:ascii="Consolas" w:hAnsi="Consolas"/>
                <w:color w:val="0B0B0B"/>
                <w:sz w:val="19"/>
              </w:rPr>
              <w:t>data/top20_limit_history.csv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σ_Δ = 4,0667; M(1) = 5,2117; M(4) = 10,4235; границы 98,21 / 103,42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calib/trigger_audit.py</w:t>
            </w:r>
            <w:r>
              <w:rPr>
                <w:color w:val="0B0B0B"/>
              </w:rPr>
              <w:t>; книга v1.8, листы «Ряд» и «Метрики»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101,50 % на 01.07.2026; 105,90 % в 01.2024; 95,85 % и ΔСК −7,92 % в 01.2026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data/top20_monthly_2023_08_2026_07.csv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T1 24 срабатывания, 23 в зелёной; T2 17 и 15; зона ухудшилась дважды; частота 6,9 %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calib/trigger_audit.py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R0 88,1 %, R1 9,4 %, R2 2,2 %, R3 один раз, R4 ни разу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там же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Совпадения: 6 месяцев из 32 с тремя и более метриками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там же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Три метрики из двенадцати формально нормальны; асимметрия и эксцесс CoR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calib/normality_triage.py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M(4) = 3,2850 при уровне 3,00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там же; книга v1.8, лист «Метрики»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Отношение волатильности 5,04 и 4,86 против ≤ 1,76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FINDINGS_RA.md</w:t>
            </w:r>
            <w:r>
              <w:rPr>
                <w:color w:val="0B0B0B"/>
              </w:rPr>
              <w:t>, Г36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ACARI 15,90 % при k1 = 0; ALRI 118,28 % при HLA = 0; доли 51,7 / 38,9 / 9,4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лист 50-1, формулы E44, E55; Приложение № 2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Запас = лимит − max(факт, 0)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лист 50-1, формула H18; лист 50-5, текст выводов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#VALUE!</w:t>
            </w:r>
            <w:r>
              <w:rPr>
                <w:color w:val="0B0B0B"/>
              </w:rPr>
              <w:t xml:space="preserve"> в четырёх ячейках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лист 50-1, H45, I45, H48, I48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Мастер-шкала 10 × 5 = 50; отсечение 33 = 8 × 4 + 1V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Приложение № 5.9 к Методике провизий; составляющие 5.6 и 5.8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Стадия: LTPD PIT +80 %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Приложение № 2 к Методике провизий, раздел 2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Зоны Приложения № 2: k1 красная &lt; 9,0 % при лимите 8,5 %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Приложение № 2 к Методике агрегированных уровней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Одно звено каскада из шести; один лимит из 25 с восстановленным происхождением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viz/chain.svg</w:t>
            </w:r>
            <w:r>
              <w:rPr>
                <w:color w:val="0B0B0B"/>
              </w:rPr>
              <w:t xml:space="preserve">, собирается </w:t>
            </w:r>
            <w:r>
              <w:rPr>
                <w:rFonts w:ascii="Consolas" w:hAnsi="Consolas"/>
                <w:color w:val="0B0B0B"/>
                <w:sz w:val="19"/>
              </w:rPr>
              <w:t>viz/chain_svg.py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20 из 36 месяцев сверены с отчётностью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DECOMPOSITION.md</w:t>
            </w:r>
            <w:r>
              <w:rPr>
                <w:color w:val="0B0B0B"/>
              </w:rPr>
              <w:t xml:space="preserve"> § 10.2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