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Риск-аппетит по кредитному риску: два этапа, сроки и распределение</w:t>
      </w:r>
    </w:p>
    <w:p>
      <w:pPr>
        <w:jc w:val="both"/>
      </w:pPr>
      <w:r>
        <w:rPr>
          <w:color w:val="0B0B0B"/>
        </w:rPr>
        <w:t xml:space="preserve">На 17.09.2026. Развёрнутая версия — </w:t>
      </w:r>
      <w:r>
        <w:rPr>
          <w:rFonts w:ascii="Consolas" w:hAnsi="Consolas"/>
          <w:color w:val="0B0B0B"/>
          <w:sz w:val="19"/>
        </w:rPr>
        <w:t>REVISION_RA.md</w:t>
      </w:r>
      <w:r>
        <w:rPr>
          <w:color w:val="0B0B0B"/>
        </w:rPr>
        <w:t>; здесь только то, что нужно, чтобы включиться или передать дальше.</w:t>
      </w:r>
    </w:p>
    <w:p>
      <w:pPr>
        <w:pStyle w:val="Heading2"/>
      </w:pPr>
      <w:r>
        <w:t>Разделение на два этапа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Этап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Что входит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Срок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Оформить сделанное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аналитическая записка по всей проделанной работе; шаблон мер реагирования с полным перебором случаев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до 30.09.2026 вместе с согласованием</w:t>
            </w:r>
            <w:r>
              <w:rPr>
                <w:color w:val="0B0B0B"/>
              </w:rPr>
              <w:t xml:space="preserve"> — то есть работа должна быть закончена за один-три дня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Исследование рамки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оценка системы риск-аппетита по международной практике, экономический капитал, стресс-тест, инструмент зонирования и ежегодная перекалибровка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начало октября</w:t>
            </w:r>
          </w:p>
        </w:tc>
      </w:tr>
    </w:tbl>
    <w:p/>
    <w:p>
      <w:pPr>
        <w:jc w:val="both"/>
      </w:pPr>
      <w:r>
        <w:rPr>
          <w:color w:val="0B0B0B"/>
        </w:rPr>
        <w:t>Этап 2 сознательно отложен: он отвечает на вопрос «объективна ли рамка», а этап 1 — на вопрос «оформлено ли то, что уже доказано». Второй вопрос имеет срок, первый нет.</w:t>
      </w:r>
    </w:p>
    <w:p>
      <w:pPr>
        <w:pStyle w:val="Heading2"/>
      </w:pPr>
      <w:r>
        <w:t>Что готово на сегодня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Дилеверабл этапа 1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Состояние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Аналитическая записка v0.6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черновик готов</w:t>
            </w:r>
            <w:r>
              <w:rPr>
                <w:color w:val="0B0B0B"/>
              </w:rPr>
              <w:t xml:space="preserve"> — </w:t>
            </w:r>
            <w:r>
              <w:rPr>
                <w:rFonts w:ascii="Consolas" w:hAnsi="Consolas"/>
                <w:color w:val="0B0B0B"/>
                <w:sz w:val="19"/>
              </w:rPr>
              <w:t>ZAPISKA_v0_6.md</w:t>
            </w:r>
            <w:r>
              <w:rPr>
                <w:color w:val="0B0B0B"/>
              </w:rPr>
              <w:t>, двенадцать разделов плюс карта источников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Шаблон мер реагирования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готов</w:t>
            </w:r>
            <w:r>
              <w:rPr>
                <w:color w:val="0B0B0B"/>
              </w:rPr>
              <w:t xml:space="preserve"> — 48 случаев, пять уровней, пять правил перехода, справочные пороги по двенадцати метрикам</w:t>
            </w:r>
          </w:p>
        </w:tc>
      </w:tr>
    </w:tbl>
    <w:p/>
    <w:p>
      <w:pPr>
        <w:jc w:val="both"/>
      </w:pPr>
      <w:r>
        <w:rPr>
          <w:color w:val="0B0B0B"/>
        </w:rPr>
        <w:t>Записка заменяет v0.5, которая считалась на квартальных рядах из девяти точек и в § 3 утверждала, что уровень по топ-20 нарушен. На месячных рядах из тридцати шести точек этот вывод не подтверждается.</w:t>
      </w:r>
    </w:p>
    <w:p>
      <w:pPr>
        <w:pStyle w:val="Heading2"/>
      </w:pPr>
      <w:r>
        <w:t>Кто делает записку</w:t>
      </w:r>
    </w:p>
    <w:p>
      <w:pPr>
        <w:jc w:val="both"/>
      </w:pPr>
      <w:r>
        <w:rPr>
          <w:b/>
          <w:color w:val="0B0B0B"/>
        </w:rPr>
        <w:t>Предложение: Ерлан — по согласованию с Айдаром.</w:t>
      </w:r>
      <w:r>
        <w:rPr>
          <w:color w:val="0B0B0B"/>
        </w:rPr>
        <w:t xml:space="preserve"> Айдар был на презентации перед Дамиром, знает, как шла работа, и может сверить нарратив; по оргструктуре задачи Ерлану идут через него.</w:t>
      </w:r>
    </w:p>
    <w:p>
      <w:pPr>
        <w:jc w:val="both"/>
      </w:pPr>
      <w:r>
        <w:rPr>
          <w:b/>
          <w:color w:val="0B0B0B"/>
        </w:rPr>
        <w:t>Возражение, которое надо снять до того, как задача уйдёт.</w:t>
      </w:r>
      <w:r>
        <w:rPr>
          <w:color w:val="0B0B0B"/>
        </w:rPr>
        <w:t xml:space="preserve"> Записку защищает тот, кто её подписывает. Она опирается примерно на сорок утверждений, каждое привязано к конкретной ячейке или формуле: первый же вопрос на согласовании — «откуда 442 346» — требует знать, что это ячейка E11 листа 50-1, почему она не E52 и что из этого следует. Человек, который этих ссылок не прослеживал, за один-три дня их не восстановит.</w:t>
      </w:r>
    </w:p>
    <w:p>
      <w:pPr>
        <w:jc w:val="both"/>
      </w:pPr>
      <w:r>
        <w:rPr>
          <w:b/>
          <w:color w:val="0B0B0B"/>
        </w:rPr>
        <w:t>Как снимается.</w:t>
      </w:r>
      <w:r>
        <w:rPr>
          <w:color w:val="0B0B0B"/>
        </w:rPr>
        <w:t xml:space="preserve"> Черновик отдаётся готовым, с проставленными источниками — в записке есть отдельное приложение «Карта источников», где против каждого числа стоит лист, ячейка или прогон. Работа Ерлана тогда — проверка, правка формулировок и принятие на себя, а не реконструкция. Это укладывается в срок; реконструкция — нет.</w:t>
      </w:r>
    </w:p>
    <w:p>
      <w:pPr>
        <w:pStyle w:val="Heading2"/>
      </w:pPr>
      <w:r>
        <w:t>Что снимает главную блокировку</w:t>
      </w:r>
    </w:p>
    <w:p>
      <w:pPr>
        <w:jc w:val="both"/>
      </w:pPr>
      <w:r>
        <w:rPr>
          <w:color w:val="0B0B0B"/>
        </w:rPr>
        <w:t xml:space="preserve">Раньше записка считалась заблокированной вопросом В56 — какой собственный капитал предусмотрен для метрики топ-20. </w:t>
      </w:r>
      <w:r>
        <w:rPr>
          <w:b/>
          <w:color w:val="0B0B0B"/>
        </w:rPr>
        <w:t>Это снято постановкой:</w:t>
      </w:r>
      <w:r>
        <w:rPr>
          <w:color w:val="0B0B0B"/>
        </w:rPr>
        <w:t xml:space="preserve"> записка не решает вопрос, а выносит его как развилку.</w:t>
      </w:r>
    </w:p>
    <w:p>
      <w:pPr>
        <w:jc w:val="both"/>
      </w:pPr>
      <w:r>
        <w:rPr>
          <w:color w:val="0B0B0B"/>
        </w:rPr>
        <w:t xml:space="preserve">Обнаружено: на листе 50-1 на одну дату </w:t>
      </w:r>
      <w:r>
        <w:rPr>
          <w:b/>
          <w:color w:val="0B0B0B"/>
        </w:rPr>
        <w:t>два разных «Собственных капитала»</w:t>
      </w:r>
      <w:r>
        <w:rPr>
          <w:color w:val="0B0B0B"/>
        </w:rPr>
        <w:t xml:space="preserve"> — 442 346,331 млн ₸ в знаменателе топ-20 и 550 245,387 млн ₸ в числителе k2, разница 24,39 %. При первом метрика даёт перелимит +6,50 пп, при втором — запас +13,40 пп. Соответственно уровень может быть </w:t>
      </w:r>
      <w:r>
        <w:rPr>
          <w:b/>
          <w:color w:val="0B0B0B"/>
        </w:rPr>
        <w:t>95 %, 108,63 % или 118,17 %</w:t>
      </w:r>
      <w:r>
        <w:rPr>
          <w:color w:val="0B0B0B"/>
        </w:rPr>
        <w:t>, и все три варианта выносятся на уполномоченный орган вместе, с ценой каждого.</w:t>
      </w:r>
    </w:p>
    <w:p>
      <w:pPr>
        <w:jc w:val="both"/>
      </w:pPr>
      <w:r>
        <w:rPr>
          <w:color w:val="0B0B0B"/>
        </w:rPr>
        <w:t>Такая постановка честнее и не требует ждать ответа: выбор всё равно не наш.</w:t>
      </w:r>
    </w:p>
    <w:p>
      <w:pPr>
        <w:pStyle w:val="Heading2"/>
      </w:pPr>
      <w:r>
        <w:t>Распределение по этапу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Кому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К какому сроку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Ерлан — через Айдара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проверить черновик записки по карте источников, поправить формулировки, принять на себя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до согласования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Айдар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согласовать передачу задачи; сверить нарратив с тем, что докладывалось Дамиру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сразу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Sabila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заполнить шаблон: 48 случаев, колонки «Мера», «Основание», «Ответственный», «Срок». Где процедуры нет — так и написать: это отдельный результат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до согласования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Мирас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отправить вопросы владельцам отчёта и расчёта; сопровождать согласование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сразу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Дамир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решение по этапу 2 и его срокам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после этапа 1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Уполномоченный орган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знаменатель и уровень; смена смысла числа 95; N гистерезиса и порог панельного правила; утверждение мер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на комитете</w:t>
            </w:r>
          </w:p>
        </w:tc>
      </w:tr>
    </w:tbl>
    <w:p/>
    <w:p>
      <w:pPr>
        <w:pStyle w:val="Heading2"/>
      </w:pPr>
      <w:r>
        <w:t>Вопросы наружу — отправить сейчас, ответы нужны к согласованию</w:t>
      </w:r>
    </w:p>
    <w:p>
      <w:pPr>
        <w:jc w:val="both"/>
      </w:pPr>
      <w:r>
        <w:rPr>
          <w:color w:val="0B0B0B"/>
        </w:rPr>
        <w:t xml:space="preserve">Четыре из шести адресованы владельцам, </w:t>
      </w:r>
      <w:r>
        <w:rPr>
          <w:b/>
          <w:color w:val="0B0B0B"/>
        </w:rPr>
        <w:t>имена которых в контуре не установлены</w:t>
      </w:r>
      <w:r>
        <w:rPr>
          <w:color w:val="0B0B0B"/>
        </w:rPr>
        <w:t>. Это первое, что надо снять: у этих пунктов нет адресата, а не исполнителя.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Вопрос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Кому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В56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Какой собственный капитал предусмотрен для метрики топ-20 — E11 (442 346) или E52 (550 245)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владелец сводного отчёта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В42 + Д15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Формула CoR. Что написано в заголовке строки CoR на листе </w:t>
            </w:r>
            <w:r>
              <w:rPr>
                <w:rFonts w:ascii="Consolas" w:hAnsi="Consolas"/>
                <w:color w:val="0B0B0B"/>
                <w:sz w:val="19"/>
              </w:rPr>
              <w:t>Monthly</w:t>
            </w:r>
            <w:r>
              <w:rPr>
                <w:color w:val="0B0B0B"/>
              </w:rPr>
              <w:t xml:space="preserve"> и есть ли за ней формула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владелец расчёта CoR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В53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Лимит CoR по МСБ: 3,5 % (лист 50-1) или 3,3 % (лист 50-2)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владелец сводного отчёта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В54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Лимит HLA: 20 % (форма), 25 % (записка), 25 % (граница красной зоны)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владелец сводного отчёта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В55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Утверждён ли способ агрегирования ACARI и ALRI как среднее трёх коэффициентов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владелец Методики агрегированных уровней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Д-21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Доли якорных продуктов в портфеле и в процентном доходе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управленческая отчётность — через Дамира</w:t>
            </w:r>
          </w:p>
        </w:tc>
      </w:tr>
    </w:tbl>
    <w:p/>
    <w:p>
      <w:pPr>
        <w:jc w:val="both"/>
      </w:pPr>
      <w:r>
        <w:rPr>
          <w:color w:val="0B0B0B"/>
        </w:rPr>
        <w:t xml:space="preserve">Отдельно, не вопрос, а сообщение о дефекте: </w:t>
      </w:r>
      <w:r>
        <w:rPr>
          <w:b/>
          <w:color w:val="0B0B0B"/>
        </w:rPr>
        <w:t>четыре ячейки действующего отчёта возвращают `#VALUE!`</w:t>
      </w:r>
      <w:r>
        <w:rPr>
          <w:color w:val="0B0B0B"/>
        </w:rPr>
        <w:t xml:space="preserve"> — запас и сумма запаса по k1 и k1-2. Лимит разбирается обрезкой текстовой строки и ломается на первой десятичной запятой. Отчёт в таком виде выносится на УО.</w:t>
      </w:r>
    </w:p>
    <w:p>
      <w:pPr>
        <w:pStyle w:val="Heading2"/>
      </w:pPr>
      <w:r>
        <w:t>Что переходит на этап 2</w:t>
      </w:r>
    </w:p>
    <w:p>
      <w:pPr>
        <w:jc w:val="both"/>
      </w:pPr>
      <w:r>
        <w:rPr>
          <w:color w:val="0B0B0B"/>
        </w:rPr>
        <w:t>Оценка системы риск-аппетита по международной практике (двенадцать позиций, шесть из которых сейчас отсутствуют: риск-ёмкость, заявление как документ, индикаторы раннего предупреждения, протокол эскалации, каскадирование, обратное стресс-тестирование); стыковка с экономическим капиталом, стресс-тестом и провизиями; инструмент зонирования и ежегодная перекалибровка; обратный стресс на оставшиеся метрики.</w:t>
      </w:r>
    </w:p>
    <w:p>
      <w:pPr>
        <w:jc w:val="both"/>
      </w:pPr>
      <w:r>
        <w:rPr>
          <w:color w:val="0B0B0B"/>
        </w:rPr>
        <w:t xml:space="preserve">Решение по итогу этапа 2 — </w:t>
      </w:r>
      <w:r>
        <w:rPr>
          <w:b/>
          <w:color w:val="0B0B0B"/>
        </w:rPr>
        <w:t>пивот, достройка или актуализация</w:t>
      </w:r>
      <w:r>
        <w:rPr>
          <w:color w:val="0B0B0B"/>
        </w:rPr>
        <w:t xml:space="preserve">. Сегодняшняя оценка, которую надо будет подтвердить или снять: вероятнее </w:t>
      </w:r>
      <w:r>
        <w:rPr>
          <w:b/>
          <w:color w:val="0B0B0B"/>
        </w:rPr>
        <w:t>достройка</w:t>
      </w:r>
      <w:r>
        <w:rPr>
          <w:color w:val="0B0B0B"/>
        </w:rPr>
        <w:t>, потому что отсутствуют не числа, а части конструкции. Версия «риск-аппетит измеряет то, чем нигде не управляют» уже опровергнута — мастер-шкала общая с провизиями.</w:t>
      </w:r>
    </w:p>
    <w:p>
      <w:pPr>
        <w:jc w:val="both"/>
      </w:pPr>
      <w:r>
        <w:rPr>
          <w:b/>
          <w:color w:val="0B0B0B"/>
        </w:rPr>
        <w:t>Одной строкой.</w:t>
      </w:r>
      <w:r>
        <w:rPr>
          <w:color w:val="0B0B0B"/>
        </w:rPr>
        <w:t xml:space="preserve"> Этап 1 не ждёт ничего, кроме проверки записки и заполнения шаблона: развилка по уровню выносится как развилка, а не как вывод. Ответы на шесть вопросов нужны не для того, чтобы начать, а для того, чтобы закрыть их до комитета.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