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20617"/>
          <w:sz w:val="72"/>
          <w:szCs w:val="72"/>
        </w:rPr>
        <w:t xml:space="preserve">EPAIEMENT.MA</w:t>
      </w:r>
    </w:p>
    <w:p>
      <w:pPr>
        <w:spacing w:before="400"/>
        <w:jc w:val="center"/>
      </w:pPr>
      <w:r>
        <w:rPr>
          <w:rFonts w:ascii="Times New Roman" w:cs="Times New Roman" w:eastAsia="Times New Roman" w:hAnsi="Times New Roman"/>
          <w:color w:val="64748B"/>
          <w:sz w:val="36"/>
          <w:szCs w:val="36"/>
        </w:rPr>
        <w:t xml:space="preserve">Étude de Marché &amp; Analyse de Rentabilité</w:t>
      </w:r>
    </w:p>
    <w:p>
      <w:pPr>
        <w:spacing w:before="800"/>
        <w:jc w:val="center"/>
      </w:pPr>
      <w:r>
        <w:rPr>
          <w:rFonts w:ascii="Times New Roman" w:cs="Times New Roman" w:eastAsia="Times New Roman" w:hAnsi="Times New Roman"/>
          <w:color w:val="1E293B"/>
          <w:sz w:val="28"/>
          <w:szCs w:val="28"/>
        </w:rPr>
        <w:t xml:space="preserve">Benchmark International &amp; Positionnement Marché Maroc</w:t>
      </w:r>
    </w:p>
    <w:p>
      <w:pPr>
        <w:spacing w:before="2000"/>
        <w:jc w:val="center"/>
      </w:pPr>
      <w:r>
        <w:rPr>
          <w:rFonts w:ascii="Times New Roman" w:cs="Times New Roman" w:eastAsia="Times New Roman" w:hAnsi="Times New Roman"/>
          <w:color w:val="64748B"/>
          <w:sz w:val="24"/>
          <w:szCs w:val="24"/>
        </w:rPr>
        <w:t xml:space="preserve">Février 2025</w:t>
      </w:r>
    </w:p>
    <w:p>
      <w:r>
        <w:br w:type="page"/>
      </w:r>
    </w:p>
    <w:p>
      <w:pPr>
        <w:sectPr>
          <w:pgSz w:w="11906" w:h="16838" w:orient="portrait"/>
          <w:pgMar w:top="0" w:right="0" w:bottom="0" w:left="0" w:header="708" w:footer="708" w:gutter="0"/>
          <w:pgNumType/>
          <w:docGrid w:linePitch="360"/>
        </w:sectPr>
      </w:pPr>
    </w:p>
    <w:p>
      <w:pPr>
        <w:pStyle w:val="Heading1"/>
      </w:pPr>
      <w:r>
        <w:t xml:space="preserve">1. Résumé Exécutif</w:t>
      </w:r>
    </w:p>
    <w:p>
      <w:pPr>
        <w:spacing w:after="200" w:line="276"/>
      </w:pPr>
      <w:r>
        <w:rPr>
          <w:rFonts w:ascii="Times New Roman" w:cs="Times New Roman" w:eastAsia="Times New Roman" w:hAnsi="Times New Roman"/>
          <w:sz w:val="22"/>
          <w:szCs w:val="22"/>
        </w:rPr>
        <w:t xml:space="preserve">Cette étude analyse le positionnement d'Epaiement.ma sur le marché marocain des solutions de paiement et de facturation électronique, en comparaison avec les acteurs internationaux et régionaux. L'analyse démontre un potentiel significatif avec un marché cible de plus de 400,000 auto-entrepreneurs et 200,000+ TPE/PME au Maroc, dans un contexte de digitalisation accélérée par les mesures fiscales DGI 2026.</w:t>
      </w:r>
    </w:p>
    <w:p>
      <w:pPr>
        <w:spacing w:after="200" w:line="276"/>
      </w:pPr>
      <w:r>
        <w:rPr>
          <w:rFonts w:ascii="Times New Roman" w:cs="Times New Roman" w:eastAsia="Times New Roman" w:hAnsi="Times New Roman"/>
          <w:sz w:val="22"/>
          <w:szCs w:val="22"/>
        </w:rPr>
        <w:t xml:space="preserve">Le marché mondial des logiciels de facturation atteindra 23,69 milliards USD d'ici 2035, avec une croissance annuelle de 6,98%. En Afrique, les fintech de paiement ont connu des succès remarquables, avec des valorisations atteignant 3 milliards USD pour les leaders comme Flutterwave et OPay. Le modèle SaaS de facturation présente des marges élevées et une forte récurrence des revenus, rendant le secteur particulièrement attractif pour les investisseurs.</w:t>
      </w:r>
    </w:p>
    <w:p>
      <w:pPr>
        <w:pStyle w:val="Heading1"/>
      </w:pPr>
      <w:r>
        <w:t xml:space="preserve">2. Taille du Marché</w:t>
      </w:r>
    </w:p>
    <w:p>
      <w:pPr>
        <w:pStyle w:val="Heading2"/>
      </w:pPr>
      <w:r>
        <w:t xml:space="preserve">2.1 Marché Mondial</w:t>
      </w:r>
    </w:p>
    <w:p>
      <w:pPr>
        <w:spacing w:after="200" w:line="276"/>
      </w:pPr>
      <w:r>
        <w:rPr>
          <w:rFonts w:ascii="Times New Roman" w:cs="Times New Roman" w:eastAsia="Times New Roman" w:hAnsi="Times New Roman"/>
          <w:sz w:val="22"/>
          <w:szCs w:val="22"/>
        </w:rPr>
        <w:t xml:space="preserve">Le marché mondial des logiciels de facturation et de gestion de paiements connaît une croissance soutenue, tirée par la digitalisation des entreprises et les obligations réglementaires. Selon les analyses de Market Research Future, le marché mondial de la facturation électronique atteindra 23,69 milliards USD d'ici 2035, affichant un taux de croissance annuel composé de 6,98% sur la période 2025-2035. Le segment spécifique des logiciels de facturation pour petites entreprises devrait doubler, passant de 1,45 milliard USD en 2024 à 3,2 milliards USD en 2032, représentant une opportunité considérable pour les solutions comme Epaiement.ma qui ciblent ce segment.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3000"/>
        <w:gridCol w:w="3000"/>
      </w:tblGrid>
      <w:tr>
        <w:trPr>
          <w:tblHeader/>
        </w:trPr>
        <w:tc>
          <w:tcPr>
            <w:tcW w:type="dxa" w:w="35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2"/>
                <w:szCs w:val="22"/>
              </w:rPr>
              <w:t xml:space="preserve">Segment</w:t>
            </w:r>
          </w:p>
        </w:tc>
        <w:tc>
          <w:tcPr>
            <w:tcW w:type="dxa" w:w="30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2"/>
                <w:szCs w:val="22"/>
              </w:rPr>
              <w:t xml:space="preserve">Taille 2024</w:t>
            </w:r>
          </w:p>
        </w:tc>
        <w:tc>
          <w:tcPr>
            <w:tcW w:type="dxa" w:w="30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2"/>
                <w:szCs w:val="22"/>
              </w:rPr>
              <w:t xml:space="preserve">Projection 2035</w:t>
            </w:r>
          </w:p>
        </w:tc>
      </w:tr>
      <w:tr>
        <w:tc>
          <w:tcPr>
            <w:tcW w:type="dxa" w:w="35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Facturation électronique mondiale</w:t>
            </w:r>
          </w:p>
        </w:tc>
        <w:tc>
          <w:tcPr>
            <w:tcW w:type="dxa" w:w="3000"/>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2"/>
                <w:szCs w:val="22"/>
              </w:rPr>
              <w:t xml:space="preserve">24,18 Mrd USD</w:t>
            </w:r>
          </w:p>
        </w:tc>
        <w:tc>
          <w:tcPr>
            <w:tcW w:type="dxa" w:w="3000"/>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2"/>
                <w:szCs w:val="22"/>
              </w:rPr>
              <w:t xml:space="preserve">23,69 Mrd USD</w:t>
            </w:r>
          </w:p>
        </w:tc>
      </w:tr>
      <w:tr>
        <w:tc>
          <w:tcPr>
            <w:tcW w:type="dxa" w:w="35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Logiciels facturation TPE</w:t>
            </w:r>
          </w:p>
        </w:tc>
        <w:tc>
          <w:tcPr>
            <w:tcW w:type="dxa" w:w="3000"/>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2"/>
                <w:szCs w:val="22"/>
              </w:rPr>
              <w:t xml:space="preserve">1,45 Mrd USD</w:t>
            </w:r>
          </w:p>
        </w:tc>
        <w:tc>
          <w:tcPr>
            <w:tcW w:type="dxa" w:w="3000"/>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2"/>
                <w:szCs w:val="22"/>
              </w:rPr>
              <w:t xml:space="preserve">5,8 Mrd USD</w:t>
            </w:r>
          </w:p>
        </w:tc>
      </w:tr>
      <w:tr>
        <w:tc>
          <w:tcPr>
            <w:tcW w:type="dxa" w:w="35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Fintech Afrique</w:t>
            </w:r>
          </w:p>
        </w:tc>
        <w:tc>
          <w:tcPr>
            <w:tcW w:type="dxa" w:w="3000"/>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2"/>
                <w:szCs w:val="22"/>
              </w:rPr>
              <w:t xml:space="preserve">~3,2 Mrd USD</w:t>
            </w:r>
          </w:p>
        </w:tc>
        <w:tc>
          <w:tcPr>
            <w:tcW w:type="dxa" w:w="3000"/>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2"/>
                <w:szCs w:val="22"/>
              </w:rPr>
              <w:t xml:space="preserve">230 Mrd USD (services)</w:t>
            </w:r>
          </w:p>
        </w:tc>
      </w:tr>
    </w:tbl>
    <w:p>
      <w:pPr>
        <w:spacing w:after="300" w:before="100"/>
        <w:jc w:val="center"/>
      </w:pPr>
      <w:r>
        <w:rPr>
          <w:rFonts w:ascii="Times New Roman" w:cs="Times New Roman" w:eastAsia="Times New Roman" w:hAnsi="Times New Roman"/>
          <w:i/>
          <w:iCs/>
          <w:color w:val="64748B"/>
          <w:sz w:val="18"/>
          <w:szCs w:val="18"/>
        </w:rPr>
        <w:t xml:space="preserve">Tableau 1 : Taille des marchés cibles (Sources : Market Research Future, McKinsey)</w:t>
      </w:r>
    </w:p>
    <w:p>
      <w:pPr>
        <w:pStyle w:val="Heading2"/>
      </w:pPr>
      <w:r>
        <w:t xml:space="preserve">2.2 Marché Marocain</w:t>
      </w:r>
    </w:p>
    <w:p>
      <w:pPr>
        <w:spacing w:after="200" w:line="276"/>
      </w:pPr>
      <w:r>
        <w:rPr>
          <w:rFonts w:ascii="Times New Roman" w:cs="Times New Roman" w:eastAsia="Times New Roman" w:hAnsi="Times New Roman"/>
          <w:sz w:val="22"/>
          <w:szCs w:val="22"/>
        </w:rPr>
        <w:t xml:space="preserve">Le marché marocain présente des caractéristiques uniques qui créent une fenêtre d'opportunité exceptionnelle pour Epaiement.ma. Selon l'OCDE et l'Observatoire Marocain des TPE/PME (OMTPME), le Maroc compte plus de 406,000 auto-entrepreneurs enregistrés en 2022, contre seulement 86,000 en 2018, soit une croissance de 372% en quatre ans. Les TPE représentent 64% du tissu entrepreneurial formel marocain, avec près de 15,658 défaillances enregistrées en 2024, soulignant le besoin crucial d'outils de gestion financière efficaces pour ce segment.</w:t>
      </w:r>
    </w:p>
    <w:p>
      <w:pPr>
        <w:spacing w:after="200" w:line="276"/>
      </w:pPr>
      <w:r>
        <w:rPr>
          <w:rFonts w:ascii="Times New Roman" w:cs="Times New Roman" w:eastAsia="Times New Roman" w:hAnsi="Times New Roman"/>
          <w:sz w:val="22"/>
          <w:szCs w:val="22"/>
        </w:rPr>
        <w:t xml:space="preserve">L'obligation de facturation électronique DGI 2026 crée un catalyseur réglementaire puissant. À partir de janvier 2026, toutes les entreprises marocaines devront adopter la facturation électronique, avec des pénalités de 500 DH par facture non conforme, plafonnées à 50,000 DH par an. Cette contrainte réglementaire transforme Epaiement.ma d'un simple outil de commodité en une solution de conformité indispensable.</w:t>
      </w:r>
    </w:p>
    <w:p>
      <w:pPr>
        <w:pStyle w:val="Heading1"/>
      </w:pPr>
      <w:r>
        <w:t xml:space="preserve">3. Analyse Concurrentielle</w:t>
      </w:r>
    </w:p>
    <w:p>
      <w:pPr>
        <w:pStyle w:val="Heading2"/>
      </w:pPr>
      <w:r>
        <w:t xml:space="preserve">3.1 Success Stories Africaines</w:t>
      </w:r>
    </w:p>
    <w:p>
      <w:pPr>
        <w:spacing w:after="200" w:line="276"/>
      </w:pPr>
      <w:r>
        <w:rPr>
          <w:rFonts w:ascii="Times New Roman" w:cs="Times New Roman" w:eastAsia="Times New Roman" w:hAnsi="Times New Roman"/>
          <w:sz w:val="22"/>
          <w:szCs w:val="22"/>
        </w:rPr>
        <w:t xml:space="preserve">L'écosystème fintech africain a produit plusieurs succès majeurs qui servent de modèles pour Epaiement.ma. Ces exemples démontrent le potentiel considérable du marché et les trajectoires de croissance possibles pour une solution bien positionnée.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2200"/>
        <w:gridCol w:w="2200"/>
        <w:gridCol w:w="3100"/>
      </w:tblGrid>
      <w:tr>
        <w:trPr>
          <w:tblHeader/>
        </w:trPr>
        <w:tc>
          <w:tcPr>
            <w:tcW w:type="dxa" w:w="20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Entreprise</w:t>
            </w:r>
          </w:p>
        </w:tc>
        <w:tc>
          <w:tcPr>
            <w:tcW w:type="dxa" w:w="22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Valorisation</w:t>
            </w:r>
          </w:p>
        </w:tc>
        <w:tc>
          <w:tcPr>
            <w:tcW w:type="dxa" w:w="22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Pays</w:t>
            </w:r>
          </w:p>
        </w:tc>
        <w:tc>
          <w:tcPr>
            <w:tcW w:type="dxa" w:w="31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Leçon Clé</w:t>
            </w:r>
          </w:p>
        </w:tc>
      </w:tr>
      <w:tr>
        <w:tc>
          <w:tcPr>
            <w:tcW w:type="dxa" w:w="20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0"/>
                <w:szCs w:val="20"/>
              </w:rPr>
              <w:t xml:space="preserve">Flutterwave</w:t>
            </w:r>
          </w:p>
        </w:tc>
        <w:tc>
          <w:tcPr>
            <w:tcW w:type="dxa" w:w="2200"/>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3 Mrd USD</w:t>
            </w:r>
          </w:p>
        </w:tc>
        <w:tc>
          <w:tcPr>
            <w:tcW w:type="dxa" w:w="22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Nigeria</w:t>
            </w:r>
          </w:p>
        </w:tc>
        <w:tc>
          <w:tcPr>
            <w:tcW w:type="dxa" w:w="31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200M+ transactions, 16Mrd USD traités</w:t>
            </w:r>
          </w:p>
        </w:tc>
      </w:tr>
      <w:tr>
        <w:tc>
          <w:tcPr>
            <w:tcW w:type="dxa" w:w="20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0"/>
                <w:szCs w:val="20"/>
              </w:rPr>
              <w:t xml:space="preserve">Paystack</w:t>
            </w:r>
          </w:p>
        </w:tc>
        <w:tc>
          <w:tcPr>
            <w:tcW w:type="dxa" w:w="2200"/>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200 M USD (acquis)</w:t>
            </w:r>
          </w:p>
        </w:tc>
        <w:tc>
          <w:tcPr>
            <w:tcW w:type="dxa" w:w="22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Nigeria</w:t>
            </w:r>
          </w:p>
        </w:tc>
        <w:tc>
          <w:tcPr>
            <w:tcW w:type="dxa" w:w="31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Acquis par Stripe - focus marché local</w:t>
            </w:r>
          </w:p>
        </w:tc>
      </w:tr>
      <w:tr>
        <w:tc>
          <w:tcPr>
            <w:tcW w:type="dxa" w:w="20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0"/>
                <w:szCs w:val="20"/>
              </w:rPr>
              <w:t xml:space="preserve">Yoco</w:t>
            </w:r>
          </w:p>
        </w:tc>
        <w:tc>
          <w:tcPr>
            <w:tcW w:type="dxa" w:w="2200"/>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700 M USD</w:t>
            </w:r>
          </w:p>
        </w:tc>
        <w:tc>
          <w:tcPr>
            <w:tcW w:type="dxa" w:w="22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Afrique du Sud</w:t>
            </w:r>
          </w:p>
        </w:tc>
        <w:tc>
          <w:tcPr>
            <w:tcW w:type="dxa" w:w="31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200,000+ marchands, 1Mrd USD traités/an</w:t>
            </w:r>
          </w:p>
        </w:tc>
      </w:tr>
      <w:tr>
        <w:tc>
          <w:tcPr>
            <w:tcW w:type="dxa" w:w="20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0"/>
                <w:szCs w:val="20"/>
              </w:rPr>
              <w:t xml:space="preserve">OPay</w:t>
            </w:r>
          </w:p>
        </w:tc>
        <w:tc>
          <w:tcPr>
            <w:tcW w:type="dxa" w:w="2200"/>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2 Mrd USD</w:t>
            </w:r>
          </w:p>
        </w:tc>
        <w:tc>
          <w:tcPr>
            <w:tcW w:type="dxa" w:w="22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Nigeria</w:t>
            </w:r>
          </w:p>
        </w:tc>
        <w:tc>
          <w:tcPr>
            <w:tcW w:type="dxa" w:w="31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Modèle inclusif grand public</w:t>
            </w:r>
          </w:p>
        </w:tc>
      </w:tr>
      <w:tr>
        <w:tc>
          <w:tcPr>
            <w:tcW w:type="dxa" w:w="20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b/>
                <w:bCs/>
                <w:sz w:val="20"/>
                <w:szCs w:val="20"/>
              </w:rPr>
              <w:t xml:space="preserve">Wave</w:t>
            </w:r>
          </w:p>
        </w:tc>
        <w:tc>
          <w:tcPr>
            <w:tcW w:type="dxa" w:w="2200"/>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1,7 Mrd USD</w:t>
            </w:r>
          </w:p>
        </w:tc>
        <w:tc>
          <w:tcPr>
            <w:tcW w:type="dxa" w:w="22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Sénégal</w:t>
            </w:r>
          </w:p>
        </w:tc>
        <w:tc>
          <w:tcPr>
            <w:tcW w:type="dxa" w:w="3100"/>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Mobile money Francophone Africa</w:t>
            </w:r>
          </w:p>
        </w:tc>
      </w:tr>
    </w:tbl>
    <w:p>
      <w:pPr>
        <w:spacing w:after="300" w:before="100"/>
        <w:jc w:val="center"/>
      </w:pPr>
      <w:r>
        <w:rPr>
          <w:rFonts w:ascii="Times New Roman" w:cs="Times New Roman" w:eastAsia="Times New Roman" w:hAnsi="Times New Roman"/>
          <w:i/>
          <w:iCs/>
          <w:color w:val="64748B"/>
          <w:sz w:val="18"/>
          <w:szCs w:val="18"/>
        </w:rPr>
        <w:t xml:space="preserve">Tableau 2 : Success Stories Fintech Africaines (Sources : TechCrunch, Fintech News Africa)</w:t>
      </w:r>
    </w:p>
    <w:p>
      <w:pPr>
        <w:pStyle w:val="Heading2"/>
      </w:pPr>
      <w:r>
        <w:t xml:space="preserve">3.2 Concurrents Directs au Maroc</w:t>
      </w:r>
    </w:p>
    <w:p>
      <w:pPr>
        <w:spacing w:after="200" w:line="276"/>
      </w:pPr>
      <w:r>
        <w:rPr>
          <w:rFonts w:ascii="Times New Roman" w:cs="Times New Roman" w:eastAsia="Times New Roman" w:hAnsi="Times New Roman"/>
          <w:sz w:val="22"/>
          <w:szCs w:val="22"/>
        </w:rPr>
        <w:t xml:space="preserve">Le marché marocain présente une configuration unique où les acteurs traditionnels (CMI, Cash Plus) dominent l'infrastructure de paiement, mais laissent un vide significatif dans les solutions de facturation et de gestion pour les TPE et auto-entrepreneurs. Cette analyse identifie les opportunités de positionnement pour Epaiement.ma.</w:t>
      </w:r>
    </w:p>
    <w:p>
      <w:pPr>
        <w:pStyle w:val="Heading3"/>
      </w:pPr>
      <w:r>
        <w:t xml:space="preserve">Fatourati (CMI)</w:t>
      </w:r>
    </w:p>
    <w:p>
      <w:pPr>
        <w:spacing w:after="200" w:line="276"/>
      </w:pPr>
      <w:r>
        <w:rPr>
          <w:rFonts w:ascii="Times New Roman" w:cs="Times New Roman" w:eastAsia="Times New Roman" w:hAnsi="Times New Roman"/>
          <w:sz w:val="22"/>
          <w:szCs w:val="22"/>
        </w:rPr>
        <w:t xml:space="preserve">Fatourati est la plateforme de référence pour le paiement multicanal des factures au Maroc, connectée à 32 banques et établissements de paiement. Lancée par le Centre Monétique Interbancaire (CMI), elle permet le paiement de factures d'opérateurs publics et privés (RADEEMA, lycées, etc.). Cependant, Fatourati est une plateforme de paiement de factures existantes, pas un outil de création et de gestion de factures pour les entreprises. Elle ne s'adresse pas aux auto-entrepreneurs et TPE qui ont besoin de générer leurs propres factures conformes DGI 2026. C'est là que se positionne Epaiement.ma, en complémentarité avec Fatourati pour le paiement.</w:t>
      </w:r>
    </w:p>
    <w:p>
      <w:pPr>
        <w:pStyle w:val="Heading3"/>
      </w:pPr>
      <w:r>
        <w:t xml:space="preserve">Cash Plus</w:t>
      </w:r>
    </w:p>
    <w:p>
      <w:pPr>
        <w:spacing w:after="200" w:line="276"/>
      </w:pPr>
      <w:r>
        <w:rPr>
          <w:rFonts w:ascii="Times New Roman" w:cs="Times New Roman" w:eastAsia="Times New Roman" w:hAnsi="Times New Roman"/>
          <w:sz w:val="22"/>
          <w:szCs w:val="22"/>
        </w:rPr>
        <w:t xml:space="preserve">Cash Plus est une fintech marocaine qui facilite le paiement de factures et offre des services de transfert d'argent et de carte de paiement. Avec un réseau d'agences physiques et une application mobile, Cash Plus digitalise le paiement des factures au Maroc. Toutefois, Cash Plus reste centré sur le paiement et non sur la création de factures ou la gestion comptable. Les auto-entrepreneurs marocains n'ont pas d'outil intégré pour créer des factures conformes DGI 2026, générer des liens de paiement, et suivre leur trésorerie.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500"/>
        <w:gridCol w:w="2500"/>
        <w:gridCol w:w="2000"/>
      </w:tblGrid>
      <w:tr>
        <w:trPr>
          <w:tblHeader/>
        </w:trPr>
        <w:tc>
          <w:tcPr>
            <w:tcW w:type="dxa" w:w="25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Critère</w:t>
            </w:r>
          </w:p>
        </w:tc>
        <w:tc>
          <w:tcPr>
            <w:tcW w:type="dxa" w:w="25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Fatourati</w:t>
            </w:r>
          </w:p>
        </w:tc>
        <w:tc>
          <w:tcPr>
            <w:tcW w:type="dxa" w:w="25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Cash Plus</w:t>
            </w:r>
          </w:p>
        </w:tc>
        <w:tc>
          <w:tcPr>
            <w:tcW w:type="dxa" w:w="20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Epaiement.ma</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Création factures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2C55E"/>
                <w:sz w:val="20"/>
                <w:szCs w:val="20"/>
              </w:rPr>
              <w:t xml:space="preserv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Conforme DGI 2026</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2C55E"/>
                <w:sz w:val="20"/>
                <w:szCs w:val="20"/>
              </w:rPr>
              <w:t xml:space="preserv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Liens de paiement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2C55E"/>
                <w:sz w:val="20"/>
                <w:szCs w:val="20"/>
              </w:rPr>
              <w:t xml:space="preserv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Cible TPE/Auto-ent.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Partiel</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2C55E"/>
                <w:sz w:val="20"/>
                <w:szCs w:val="20"/>
              </w:rPr>
              <w:t xml:space="preserv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Gestion TVA</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2C55E"/>
                <w:sz w:val="20"/>
                <w:szCs w:val="20"/>
              </w:rPr>
              <w:t xml:space="preserv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QR Code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2C55E"/>
                <w:sz w:val="20"/>
                <w:szCs w:val="20"/>
              </w:rPr>
              <w:t xml:space="preserve">✅</w:t>
            </w:r>
          </w:p>
        </w:tc>
      </w:tr>
    </w:tbl>
    <w:p>
      <w:pPr>
        <w:spacing w:after="300" w:before="100"/>
        <w:jc w:val="center"/>
      </w:pPr>
      <w:r>
        <w:rPr>
          <w:rFonts w:ascii="Times New Roman" w:cs="Times New Roman" w:eastAsia="Times New Roman" w:hAnsi="Times New Roman"/>
          <w:i/>
          <w:iCs/>
          <w:color w:val="64748B"/>
          <w:sz w:val="18"/>
          <w:szCs w:val="18"/>
        </w:rPr>
        <w:t xml:space="preserve">Tableau 3 : Comparaison Positionnement Concurrentiel</w:t>
      </w:r>
    </w:p>
    <w:p>
      <w:pPr>
        <w:pStyle w:val="Heading2"/>
      </w:pPr>
      <w:r>
        <w:t xml:space="preserve">3.3 Benchmark International</w:t>
      </w:r>
    </w:p>
    <w:p>
      <w:pPr>
        <w:spacing w:after="200" w:line="276"/>
      </w:pPr>
      <w:r>
        <w:rPr>
          <w:rFonts w:ascii="Times New Roman" w:cs="Times New Roman" w:eastAsia="Times New Roman" w:hAnsi="Times New Roman"/>
          <w:sz w:val="22"/>
          <w:szCs w:val="22"/>
        </w:rPr>
        <w:t xml:space="preserve">Les solutions internationales de facturation offrent des modèles de tarification et de fonctionnalités instructifs pour le positionnement d'Epaiement.ma. L'analyse de QuickBooks, FreshBooks et Invoice2go révèle les standards du marché et les attentes des utilisateurs en matière de pricing et de fonctionnalités.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300"/>
        <w:gridCol w:w="2300"/>
        <w:gridCol w:w="2400"/>
      </w:tblGrid>
      <w:tr>
        <w:trPr>
          <w:tblHeader/>
        </w:trPr>
        <w:tc>
          <w:tcPr>
            <w:tcW w:type="dxa" w:w="25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Solution</w:t>
            </w:r>
          </w:p>
        </w:tc>
        <w:tc>
          <w:tcPr>
            <w:tcW w:type="dxa" w:w="23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Pricing</w:t>
            </w:r>
          </w:p>
        </w:tc>
        <w:tc>
          <w:tcPr>
            <w:tcW w:type="dxa" w:w="23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Marché Cible</w:t>
            </w:r>
          </w:p>
        </w:tc>
        <w:tc>
          <w:tcPr>
            <w:tcW w:type="dxa" w:w="24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Leçon pour Epaiement</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QuickBooks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5,40-80 USD/mois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TPE/PME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Écosystème complet</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FreshBooks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8-55 USD/mois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Freelances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Simplicité UX</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Invoice2go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6-40 USD/mois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Indépendants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Mobile-first</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Yoco (SA)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Trans. fees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Petits marchands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Focus marché local</w:t>
            </w:r>
          </w:p>
        </w:tc>
      </w:tr>
    </w:tbl>
    <w:p>
      <w:pPr>
        <w:spacing w:after="300" w:before="100"/>
        <w:jc w:val="center"/>
      </w:pPr>
      <w:r>
        <w:rPr>
          <w:rFonts w:ascii="Times New Roman" w:cs="Times New Roman" w:eastAsia="Times New Roman" w:hAnsi="Times New Roman"/>
          <w:i/>
          <w:iCs/>
          <w:color w:val="64748B"/>
          <w:sz w:val="18"/>
          <w:szCs w:val="18"/>
        </w:rPr>
        <w:t xml:space="preserve">Tableau 4 : Benchmark International des Solutions de Facturation</w:t>
      </w:r>
    </w:p>
    <w:p>
      <w:pPr>
        <w:pStyle w:val="Heading1"/>
      </w:pPr>
      <w:r>
        <w:t xml:space="preserve">4. Analyse de Rentabilité</w:t>
      </w:r>
    </w:p>
    <w:p>
      <w:pPr>
        <w:pStyle w:val="Heading2"/>
      </w:pPr>
      <w:r>
        <w:t xml:space="preserve">4.1 Modèle Économique SaaS</w:t>
      </w:r>
    </w:p>
    <w:p>
      <w:pPr>
        <w:spacing w:after="200" w:line="276"/>
      </w:pPr>
      <w:r>
        <w:rPr>
          <w:rFonts w:ascii="Times New Roman" w:cs="Times New Roman" w:eastAsia="Times New Roman" w:hAnsi="Times New Roman"/>
          <w:sz w:val="22"/>
          <w:szCs w:val="22"/>
        </w:rPr>
        <w:t xml:space="preserve">Le modèle SaaS (Software as a Service) offre des avantages structurels significatifs pour Epaiement.ma. Avec des coûts fixes mensuels estimés à 435 MAD (serveur cloud, stockage, domaine) et des coûts variables quasi-nuls par utilisateur, le modèle présente une forte scalabilité. Les revenus récurrents mensuels (MRR) générés par les abonnements créent une base prévisible et croissante de revenus, caractéristique des entreprises SaaS les plus performantes.</w:t>
      </w:r>
    </w:p>
    <w:p>
      <w:pPr>
        <w:pStyle w:val="Heading2"/>
      </w:pPr>
      <w:r>
        <w:t xml:space="preserve">4.2 Projections de Revenus</w:t>
      </w:r>
    </w:p>
    <w:p>
      <w:pPr>
        <w:spacing w:after="200" w:line="276"/>
      </w:pPr>
      <w:r>
        <w:rPr>
          <w:rFonts w:ascii="Times New Roman" w:cs="Times New Roman" w:eastAsia="Times New Roman" w:hAnsi="Times New Roman"/>
          <w:sz w:val="22"/>
          <w:szCs w:val="22"/>
        </w:rPr>
        <w:t xml:space="preserve">Les projections de revenus sont basées sur des scénarios conservateur, modéré et optimiste, tenant compte de la pénétration du marché cible et de la conversion vers les plans payants. L'analyse intègre le mix de clients entre les différents plans tarifaires et l'évolution du taux de conversion.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2000"/>
        <w:gridCol w:w="2000"/>
        <w:gridCol w:w="3100"/>
      </w:tblGrid>
      <w:tr>
        <w:trPr>
          <w:tblHeader/>
        </w:trPr>
        <w:tc>
          <w:tcPr>
            <w:tcW w:type="dxa" w:w="24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Scénario</w:t>
            </w:r>
          </w:p>
        </w:tc>
        <w:tc>
          <w:tcPr>
            <w:tcW w:type="dxa" w:w="20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Clients</w:t>
            </w:r>
          </w:p>
        </w:tc>
        <w:tc>
          <w:tcPr>
            <w:tcW w:type="dxa" w:w="20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MRR</w:t>
            </w:r>
          </w:p>
        </w:tc>
        <w:tc>
          <w:tcPr>
            <w:tcW w:type="dxa" w:w="31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Revenu Annuel</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Conservateur (6 mois)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17</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~2,500 MAD</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~30,000 MAD</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Modéré (12 mois)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85</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~8,000 MAD</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~96,000 MAD</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Optimiste (18 mois)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255</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~25,000 MAD</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~300,000 MAD</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Ambitieux (24 mois)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0"/>
                <w:szCs w:val="20"/>
              </w:rPr>
              <w:t xml:space="preserve">500</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~45,000 MAD</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sz w:val="20"/>
                <w:szCs w:val="20"/>
              </w:rPr>
              <w:t xml:space="preserve">~540,000 MAD</w:t>
            </w:r>
          </w:p>
        </w:tc>
      </w:tr>
    </w:tbl>
    <w:p>
      <w:pPr>
        <w:spacing w:after="300" w:before="100"/>
        <w:jc w:val="center"/>
      </w:pPr>
      <w:r>
        <w:rPr>
          <w:rFonts w:ascii="Times New Roman" w:cs="Times New Roman" w:eastAsia="Times New Roman" w:hAnsi="Times New Roman"/>
          <w:i/>
          <w:iCs/>
          <w:color w:val="64748B"/>
          <w:sz w:val="18"/>
          <w:szCs w:val="18"/>
        </w:rPr>
        <w:t xml:space="preserve">Tableau 5 : Projections de Revenus par Scénario</w:t>
      </w:r>
    </w:p>
    <w:p>
      <w:pPr>
        <w:pStyle w:val="Heading1"/>
      </w:pPr>
      <w:r>
        <w:t xml:space="preserve">5. Facteurs Clés de Succès</w:t>
      </w:r>
    </w:p>
    <w:p>
      <w:pPr>
        <w:pStyle w:val="Heading2"/>
      </w:pPr>
      <w:r>
        <w:t xml:space="preserve">5.1 Avantages Concurrentiels</w:t>
      </w:r>
    </w:p>
    <w:p>
      <w:pPr>
        <w:spacing w:after="100" w:line="276"/>
      </w:pPr>
      <w:r>
        <w:rPr>
          <w:rFonts w:ascii="Times New Roman" w:cs="Times New Roman" w:eastAsia="Times New Roman" w:hAnsi="Times New Roman"/>
          <w:sz w:val="22"/>
          <w:szCs w:val="22"/>
        </w:rPr>
        <w:t xml:space="preserve">Epaiement.ma dispose de plusieurs avantages concurrentiels stratégiques qui positionnent la solution de manière unique sur le marché marocain : les facteurs de différenciation clés combinant conformité réglementaire, approche localisée et tarification adaptée au pouvoir d'achat marocain.</w:t>
      </w:r>
    </w:p>
    <w:p>
      <w:pPr>
        <w:pStyle w:val="ListParagraph"/>
        <w:numPr>
          <w:ilvl w:val="0"/>
          <w:numId w:val="2"/>
        </w:numPr>
        <w:spacing w:after="100" w:line="276"/>
      </w:pPr>
      <w:r>
        <w:rPr>
          <w:rFonts w:ascii="Times New Roman" w:cs="Times New Roman" w:eastAsia="Times New Roman" w:hAnsi="Times New Roman"/>
          <w:sz w:val="22"/>
          <w:szCs w:val="22"/>
        </w:rPr>
        <w:t xml:space="preserve">Conformité DGI 2026 native : Solution conçue dès le départ pour répondre aux exigences fiscales marocaines, incluant tous les identifiants obligatoires (ICE, IF, RC, Patente) et le badge de conformité sur chaque facture.</w:t>
      </w:r>
    </w:p>
    <w:p>
      <w:pPr>
        <w:pStyle w:val="ListParagraph"/>
        <w:numPr>
          <w:ilvl w:val="0"/>
          <w:numId w:val="2"/>
        </w:numPr>
        <w:spacing w:after="100" w:line="276"/>
      </w:pPr>
      <w:r>
        <w:rPr>
          <w:rFonts w:ascii="Times New Roman" w:cs="Times New Roman" w:eastAsia="Times New Roman" w:hAnsi="Times New Roman"/>
          <w:sz w:val="22"/>
          <w:szCs w:val="22"/>
        </w:rPr>
        <w:t xml:space="preserve">Tarification adaptée au marché marocain : Prix 4 à 10 fois inférieurs aux solutions internationales (49-199 MAD vs 8-80 USD), rendant la solution accessible aux auto-entrepreneurs et TPE marocains.</w:t>
      </w:r>
    </w:p>
    <w:p>
      <w:pPr>
        <w:pStyle w:val="ListParagraph"/>
        <w:numPr>
          <w:ilvl w:val="0"/>
          <w:numId w:val="2"/>
        </w:numPr>
        <w:spacing w:after="100" w:line="276"/>
      </w:pPr>
      <w:r>
        <w:rPr>
          <w:rFonts w:ascii="Times New Roman" w:cs="Times New Roman" w:eastAsia="Times New Roman" w:hAnsi="Times New Roman"/>
          <w:sz w:val="22"/>
          <w:szCs w:val="22"/>
        </w:rPr>
        <w:t xml:space="preserve">Interface 100% francophone : Expérience utilisateur native en français, adaptée aux pratiques commerciales marocaines et aux attentes des utilisateurs locaux.</w:t>
      </w:r>
    </w:p>
    <w:p>
      <w:pPr>
        <w:pStyle w:val="ListParagraph"/>
        <w:numPr>
          <w:ilvl w:val="0"/>
          <w:numId w:val="2"/>
        </w:numPr>
        <w:spacing w:after="100" w:line="276"/>
      </w:pPr>
      <w:r>
        <w:rPr>
          <w:rFonts w:ascii="Times New Roman" w:cs="Times New Roman" w:eastAsia="Times New Roman" w:hAnsi="Times New Roman"/>
          <w:sz w:val="22"/>
          <w:szCs w:val="22"/>
        </w:rPr>
        <w:t xml:space="preserve">Support local : Équipe basée au Maroc, comprenant les spécificités du marché et capable de fournir un support réactif aux utilisateurs.</w:t>
      </w:r>
    </w:p>
    <w:p>
      <w:pPr>
        <w:pStyle w:val="ListParagraph"/>
        <w:numPr>
          <w:ilvl w:val="0"/>
          <w:numId w:val="2"/>
        </w:numPr>
        <w:spacing w:after="200" w:line="276"/>
      </w:pPr>
      <w:r>
        <w:rPr>
          <w:rFonts w:ascii="Times New Roman" w:cs="Times New Roman" w:eastAsia="Times New Roman" w:hAnsi="Times New Roman"/>
          <w:sz w:val="22"/>
          <w:szCs w:val="22"/>
        </w:rPr>
        <w:t xml:space="preserve">Fonctionnalités TVA marocaines : Calcul automatique des 4 taux de TVA marocains (20%, 14%, 10%, 7%) et mode auto-entrepreneur pour les CA inférieurs à 80,000 DH/an.</w:t>
      </w:r>
    </w:p>
    <w:p>
      <w:pPr>
        <w:pStyle w:val="Heading2"/>
      </w:pPr>
      <w:r>
        <w:t xml:space="preserve">5.2 Risques et Mitigation</w:t>
      </w:r>
    </w:p>
    <w:p>
      <w:pPr>
        <w:spacing w:after="200" w:line="276"/>
      </w:pPr>
      <w:r>
        <w:rPr>
          <w:rFonts w:ascii="Times New Roman" w:cs="Times New Roman" w:eastAsia="Times New Roman" w:hAnsi="Times New Roman"/>
          <w:sz w:val="22"/>
          <w:szCs w:val="22"/>
        </w:rPr>
        <w:t xml:space="preserve">L'analyse des risques identifie les principaux défis et les stratégies de mitigation pour assurer le succès à long terme d'Epaiement.ma sur le marché marocain.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3500"/>
        <w:gridCol w:w="3000"/>
      </w:tblGrid>
      <w:tr>
        <w:trPr>
          <w:tblHeader/>
        </w:trPr>
        <w:tc>
          <w:tcPr>
            <w:tcW w:type="dxa" w:w="30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Risque</w:t>
            </w:r>
          </w:p>
        </w:tc>
        <w:tc>
          <w:tcPr>
            <w:tcW w:type="dxa" w:w="35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Impact</w:t>
            </w:r>
          </w:p>
        </w:tc>
        <w:tc>
          <w:tcPr>
            <w:tcW w:type="dxa" w:w="3000"/>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20"/>
                <w:szCs w:val="20"/>
              </w:rPr>
              <w:t xml:space="preserve">Mitigation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Concurrence internationale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Arrivée de QuickBooks, FreshBooks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Prix + conformité locale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Évolution réglementaire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Changements DGI futurs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Veille juridique + agilité</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Adoption lente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Résistance au changement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Formation + freemium</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Intégration paiement</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Dépendance CMI/Fatourati</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0"/>
                <w:szCs w:val="20"/>
              </w:rPr>
              <w:t xml:space="preserve">Partenariats multi-gateway</w:t>
            </w:r>
          </w:p>
        </w:tc>
      </w:tr>
    </w:tbl>
    <w:p>
      <w:pPr>
        <w:spacing w:after="300" w:before="100"/>
        <w:jc w:val="center"/>
      </w:pPr>
      <w:r>
        <w:rPr>
          <w:rFonts w:ascii="Times New Roman" w:cs="Times New Roman" w:eastAsia="Times New Roman" w:hAnsi="Times New Roman"/>
          <w:i/>
          <w:iCs/>
          <w:color w:val="64748B"/>
          <w:sz w:val="18"/>
          <w:szCs w:val="18"/>
        </w:rPr>
        <w:t xml:space="preserve">Tableau 6 : Analyse des Risques et Mesures de Mitigation</w:t>
      </w:r>
    </w:p>
    <w:p>
      <w:pPr>
        <w:pStyle w:val="Heading1"/>
      </w:pPr>
      <w:r>
        <w:t xml:space="preserve">6. Recommandations Stratégiques</w:t>
      </w:r>
    </w:p>
    <w:p>
      <w:pPr>
        <w:spacing w:after="200" w:line="276"/>
      </w:pPr>
      <w:r>
        <w:rPr>
          <w:rFonts w:ascii="Times New Roman" w:cs="Times New Roman" w:eastAsia="Times New Roman" w:hAnsi="Times New Roman"/>
          <w:sz w:val="22"/>
          <w:szCs w:val="22"/>
        </w:rPr>
        <w:t xml:space="preserve">Sur la base de l'analyse du marché et du positionnement concurrentiel, les recommandations stratégiques suivantes sont proposées pour maximiser les chances de succès d'Epaiement.ma sur le marché marocain des solutions de facturation et de paiement.</w:t>
      </w:r>
    </w:p>
    <w:p>
      <w:pPr>
        <w:pStyle w:val="ListParagraph"/>
        <w:numPr>
          <w:ilvl w:val="0"/>
          <w:numId w:val="3"/>
        </w:numPr>
        <w:spacing w:after="100" w:line="276"/>
      </w:pPr>
      <w:r>
        <w:rPr>
          <w:rFonts w:ascii="Times New Roman" w:cs="Times New Roman" w:eastAsia="Times New Roman" w:hAnsi="Times New Roman"/>
          <w:sz w:val="22"/>
          <w:szCs w:val="22"/>
        </w:rPr>
        <w:t xml:space="preserve">Accélérer le développement de l'intégration CMI/Fatourati pour capitaliser sur l'obligation fiscale DGI 2026 et devenir la solution de référence pour les auto-entrepreneurs et TPE marocains avant l'arrivée de concurrents internationaux.</w:t>
      </w:r>
    </w:p>
    <w:p>
      <w:pPr>
        <w:pStyle w:val="ListParagraph"/>
        <w:numPr>
          <w:ilvl w:val="0"/>
          <w:numId w:val="3"/>
        </w:numPr>
        <w:spacing w:after="100" w:line="276"/>
      </w:pPr>
      <w:r>
        <w:rPr>
          <w:rFonts w:ascii="Times New Roman" w:cs="Times New Roman" w:eastAsia="Times New Roman" w:hAnsi="Times New Roman"/>
          <w:sz w:val="22"/>
          <w:szCs w:val="22"/>
        </w:rPr>
        <w:t xml:space="preserve">Établir des partenariats avec les ordres des experts-comptables et les cabinets d'accompagnement des auto-entrepreneurs pour bénéficier d'un canal de distribution qualifié et crédible auprès de la cible prioritaire.</w:t>
      </w:r>
    </w:p>
    <w:p>
      <w:pPr>
        <w:pStyle w:val="ListParagraph"/>
        <w:numPr>
          <w:ilvl w:val="0"/>
          <w:numId w:val="3"/>
        </w:numPr>
        <w:spacing w:after="100" w:line="276"/>
      </w:pPr>
      <w:r>
        <w:rPr>
          <w:rFonts w:ascii="Times New Roman" w:cs="Times New Roman" w:eastAsia="Times New Roman" w:hAnsi="Times New Roman"/>
          <w:sz w:val="22"/>
          <w:szCs w:val="22"/>
        </w:rPr>
        <w:t xml:space="preserve">Investir dans le marketing digital avec un focus sur LinkedIn pour atteindre les professionnels et les entrepreneurs marocains, et sur Facebook pour toucher les auto-entrepreneurs et freelances.</w:t>
      </w:r>
    </w:p>
    <w:p>
      <w:pPr>
        <w:pStyle w:val="ListParagraph"/>
        <w:numPr>
          <w:ilvl w:val="0"/>
          <w:numId w:val="3"/>
        </w:numPr>
        <w:spacing w:after="100" w:line="276"/>
      </w:pPr>
      <w:r>
        <w:rPr>
          <w:rFonts w:ascii="Times New Roman" w:cs="Times New Roman" w:eastAsia="Times New Roman" w:hAnsi="Times New Roman"/>
          <w:sz w:val="22"/>
          <w:szCs w:val="22"/>
        </w:rPr>
        <w:t xml:space="preserve">Développer une stratégie SEO ciblée sur les mots-clés 'facture en ligne Maroc', 'e-invoicing DGI', 'logiciel facturation auto-entrepreneur Maroc' pour capter la demande organique croissante liée à l'obligation fiscale 2026.</w:t>
      </w:r>
    </w:p>
    <w:p>
      <w:pPr>
        <w:pStyle w:val="ListParagraph"/>
        <w:numPr>
          <w:ilvl w:val="0"/>
          <w:numId w:val="3"/>
        </w:numPr>
        <w:spacing w:after="200" w:line="276"/>
      </w:pPr>
      <w:r>
        <w:rPr>
          <w:rFonts w:ascii="Times New Roman" w:cs="Times New Roman" w:eastAsia="Times New Roman" w:hAnsi="Times New Roman"/>
          <w:sz w:val="22"/>
          <w:szCs w:val="22"/>
        </w:rPr>
        <w:t xml:space="preserve">Planifier une levée de funds après 12-18 mois pour accélérer la croissance, en utilisant les success stories africaines (Yoco, Paystack) comme références de valorisation et de trajectoire de croissance.</w:t>
      </w:r>
    </w:p>
    <w:p>
      <w:pPr>
        <w:pStyle w:val="Heading1"/>
      </w:pPr>
      <w:r>
        <w:t xml:space="preserve">7. Conclusion</w:t>
      </w:r>
    </w:p>
    <w:p>
      <w:pPr>
        <w:spacing w:after="200" w:line="276"/>
      </w:pPr>
      <w:r>
        <w:rPr>
          <w:rFonts w:ascii="Times New Roman" w:cs="Times New Roman" w:eastAsia="Times New Roman" w:hAnsi="Times New Roman"/>
          <w:sz w:val="22"/>
          <w:szCs w:val="22"/>
        </w:rPr>
        <w:t xml:space="preserve">Epaiement.ma présente un potentiel significatif sur le marché marocain des solutions de facturation et de paiement, avec une fenêtre d'opportunité exceptionnelle créée par l'obligation DGI 2026. Le positionnement unique - solution de facturation conforme DGI 2026, liens de paiement, gestion TVA, tarification adaptée au pouvoir d'achat marocain - permet de se différencier des acteurs existants (Fatourati, Cash Plus) et des solutions internationales.</w:t>
      </w:r>
    </w:p>
    <w:p>
      <w:pPr>
        <w:spacing w:after="200" w:line="276"/>
      </w:pPr>
      <w:r>
        <w:rPr>
          <w:rFonts w:ascii="Times New Roman" w:cs="Times New Roman" w:eastAsia="Times New Roman" w:hAnsi="Times New Roman"/>
          <w:sz w:val="22"/>
          <w:szCs w:val="22"/>
        </w:rPr>
        <w:t xml:space="preserve">Les success stories africaines (Flutterwave 3 Mrd USD, Yoco 700 M USD, Paystack 200 M USD acquis par Stripe) démontrent le potentiel considérable du marché fintech africain et la capacité des solutions locales à conquérir des parts de marché significatives. Epaiement.ma peut s'inspirer de ces modèles en adaptant la stratégie au contexte spécifique du Maroc.</w:t>
      </w:r>
    </w:p>
    <w:p>
      <w:pPr>
        <w:spacing w:after="200" w:line="276"/>
      </w:pPr>
      <w:r>
        <w:rPr>
          <w:rFonts w:ascii="Times New Roman" w:cs="Times New Roman" w:eastAsia="Times New Roman" w:hAnsi="Times New Roman"/>
          <w:sz w:val="22"/>
          <w:szCs w:val="22"/>
        </w:rPr>
        <w:t xml:space="preserve">Avec un marché cible de 406,000+ auto-entrepreneurs et 200,000+ TPE/PME, une tarification compétitive (49-199 MAD/mois), et une conformité DGI 2026 native, Epaiement.ma est bien positionné pour devenir la solution de référence au Maroc. Les projections de revenus montrent un potentiel de 540,000 MAD de revenus annuels à 24 mois avec 500 clients, offrant un modèle économique viable et scalable pour les investisseurs.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sur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Epaiement.ma - Étude de Marché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2026-02-28T19:15:01.661Z</dcterms:created>
  <dcterms:modified xsi:type="dcterms:W3CDTF">2026-02-28T19:15:01.661Z</dcterms:modified>
</cp:coreProperties>
</file>

<file path=docProps/custom.xml><?xml version="1.0" encoding="utf-8"?>
<Properties xmlns="http://schemas.openxmlformats.org/officeDocument/2006/custom-properties" xmlns:vt="http://schemas.openxmlformats.org/officeDocument/2006/docPropsVTypes"/>
</file>