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Times New Roman" w:cs="Times New Roman" w:eastAsia="Times New Roman" w:hAnsi="Times New Roman"/>
          <w:b/>
          <w:bCs/>
          <w:color w:val="020617"/>
          <w:sz w:val="72"/>
          <w:szCs w:val="72"/>
        </w:rPr>
        <w:t xml:space="preserve">EPAIEMENT.MA</w:t>
      </w:r>
    </w:p>
    <w:p>
      <w:pPr>
        <w:spacing w:before="400"/>
        <w:jc w:val="center"/>
      </w:pPr>
      <w:r>
        <w:rPr>
          <w:rFonts w:ascii="Times New Roman" w:cs="Times New Roman" w:eastAsia="Times New Roman" w:hAnsi="Times New Roman"/>
          <w:color w:val="64748B"/>
          <w:sz w:val="36"/>
          <w:szCs w:val="36"/>
        </w:rPr>
        <w:t xml:space="preserve">Analyse Concurrentielle &amp; Fonctionnalités Killer</w:t>
      </w:r>
    </w:p>
    <w:p>
      <w:pPr>
        <w:spacing w:before="800"/>
        <w:jc w:val="center"/>
      </w:pPr>
      <w:r>
        <w:rPr>
          <w:rFonts w:ascii="Times New Roman" w:cs="Times New Roman" w:eastAsia="Times New Roman" w:hAnsi="Times New Roman"/>
          <w:color w:val="1E293B"/>
          <w:sz w:val="28"/>
          <w:szCs w:val="28"/>
        </w:rPr>
        <w:t xml:space="preserve">Comment Construire un Mur Infranchissable</w:t>
      </w:r>
    </w:p>
    <w:p>
      <w:pPr>
        <w:spacing w:before="2000"/>
        <w:jc w:val="center"/>
      </w:pPr>
      <w:r>
        <w:rPr>
          <w:rFonts w:ascii="Times New Roman" w:cs="Times New Roman" w:eastAsia="Times New Roman" w:hAnsi="Times New Roman"/>
          <w:color w:val="64748B"/>
          <w:sz w:val="24"/>
          <w:szCs w:val="24"/>
        </w:rPr>
        <w:t xml:space="preserve">Février 2025</w:t>
      </w:r>
    </w:p>
    <w:p>
      <w:r>
        <w:br w:type="page"/>
      </w:r>
    </w:p>
    <w:p>
      <w:pPr>
        <w:sectPr>
          <w:pgSz w:w="11906" w:h="16838" w:orient="portrait"/>
          <w:pgMar w:top="0" w:right="0" w:bottom="0" w:left="0" w:header="708" w:footer="708" w:gutter="0"/>
          <w:pgNumType/>
          <w:docGrid w:linePitch="360"/>
        </w:sectPr>
      </w:pPr>
    </w:p>
    <w:p>
      <w:pPr>
        <w:pStyle w:val="Heading1"/>
      </w:pPr>
      <w:r>
        <w:t xml:space="preserve">1. Résumé Exécutif</w:t>
      </w:r>
    </w:p>
    <w:p>
      <w:pPr>
        <w:spacing w:after="200" w:line="276"/>
      </w:pPr>
      <w:r>
        <w:rPr>
          <w:rFonts w:ascii="Times New Roman" w:cs="Times New Roman" w:eastAsia="Times New Roman" w:hAnsi="Times New Roman"/>
          <w:sz w:val="22"/>
          <w:szCs w:val="22"/>
        </w:rPr>
        <w:t xml:space="preserve">Cette analyse identifie les fonctionnalités stratégiques permettant à Epaiement.ma de se différencier de manière décisive face aux concurrents marocains (Hsabati, Hisab, Manageo, Factourati) et de construire un avantage concurrentiel durable et défendable. L'objectif est de créer un 'mur infranchissable' en combinant conformité DGI 2026, innovation paiement, et expérience utilisateur supérieure.</w:t>
      </w:r>
    </w:p>
    <w:p>
      <w:pPr>
        <w:pStyle w:val="Heading1"/>
      </w:pPr>
      <w:r>
        <w:t xml:space="preserve">2. Analyse Concurrentielle Détaillée</w:t>
      </w:r>
    </w:p>
    <w:p>
      <w:pPr>
        <w:pStyle w:val="Heading2"/>
      </w:pPr>
      <w:r>
        <w:t xml:space="preserve">2.1 Vue d'Ensemble des Concurrents</w:t>
      </w:r>
    </w:p>
    <w:p>
      <w:pPr>
        <w:pStyle w:val="Heading3"/>
      </w:pPr>
      <w:r>
        <w:t xml:space="preserve">Hsabati</w:t>
      </w:r>
    </w:p>
    <w:p>
      <w:pPr>
        <w:spacing w:after="200" w:line="276"/>
      </w:pPr>
      <w:r>
        <w:rPr>
          <w:rFonts w:ascii="Times New Roman" w:cs="Times New Roman" w:eastAsia="Times New Roman" w:hAnsi="Times New Roman"/>
          <w:sz w:val="22"/>
          <w:szCs w:val="22"/>
        </w:rPr>
        <w:t xml:space="preserve">Fondée en 2018, Hsabati a levé 6 millions de dirhams pour digitaliser le factoring. La plateforme propose une solution modulaire de gestion pour PME avec un pack facturation à 399 DH/mois. Hsabati se positionne comme un ERP léger avec CRM, facturation et gestion commerciale, mais manque de focus sur l'expérience auto-entrepreneur et n'offre pas de fonctionnalités de paiement intégrées. L'interface est perçue comme complexe pour les utilisateurs non techniques, et la conformité DGI 2026 n'est pas clairement mise en avant.</w:t>
      </w:r>
    </w:p>
    <w:p>
      <w:pPr>
        <w:pStyle w:val="Heading3"/>
      </w:pPr>
      <w:r>
        <w:t xml:space="preserve">Hisab</w:t>
      </w:r>
    </w:p>
    <w:p>
      <w:pPr>
        <w:spacing w:after="200" w:line="276"/>
      </w:pPr>
      <w:r>
        <w:rPr>
          <w:rFonts w:ascii="Times New Roman" w:cs="Times New Roman" w:eastAsia="Times New Roman" w:hAnsi="Times New Roman"/>
          <w:sz w:val="22"/>
          <w:szCs w:val="22"/>
        </w:rPr>
        <w:t xml:space="preserve">Hisab se positionne comme la plateforme de facturation électronique N°1 au Maroc avec une conformité DGI 2026 native. Tarifs à partir de 149 MAD/mois avec export UBL XML et archivage 10 ans. C'est le concurrent le plus direct sur le segment DGI 2026, avec une offre claire et des fonctionnalités de conformité. Cependant, Hisab reste focalisé sur la facturation pure sans fonctionnalités de paiement, de lien de paiement, ou de QR code. L'absence d'outils de recouvrement et de gestion de trésorerie crée une opportunité de différenciation.</w:t>
      </w:r>
    </w:p>
    <w:p>
      <w:pPr>
        <w:pStyle w:val="Heading3"/>
      </w:pPr>
      <w:r>
        <w:t xml:space="preserve">Manageo</w:t>
      </w:r>
    </w:p>
    <w:p>
      <w:pPr>
        <w:spacing w:after="200" w:line="276"/>
      </w:pPr>
      <w:r>
        <w:rPr>
          <w:rFonts w:ascii="Times New Roman" w:cs="Times New Roman" w:eastAsia="Times New Roman" w:hAnsi="Times New Roman"/>
          <w:sz w:val="22"/>
          <w:szCs w:val="22"/>
        </w:rPr>
        <w:t xml:space="preserve">Manageo est une solution SaaS tout-en-un avec CRM, facturation, prospection et gestion de projet. L'interface est intuitive et adaptée aux agences et TPE/PME. La tarification propose plusieurs plans (Essentiel, Pro, Business, Entreprise). Manageo souffre cependant d'un positionnement trop générique et d'une absence de focus sur les spécificités marocaines (TVA, DGI 2026, ICE). La solution manque également de fonctionnalités de paiement intégrées.</w:t>
      </w:r>
    </w:p>
    <w:p>
      <w:pPr>
        <w:pStyle w:val="Heading3"/>
      </w:pPr>
      <w:r>
        <w:t xml:space="preserve">Factourati / Mafactu</w:t>
      </w:r>
    </w:p>
    <w:p>
      <w:pPr>
        <w:spacing w:after="200" w:line="276"/>
      </w:pPr>
      <w:r>
        <w:rPr>
          <w:rFonts w:ascii="Times New Roman" w:cs="Times New Roman" w:eastAsia="Times New Roman" w:hAnsi="Times New Roman"/>
          <w:sz w:val="22"/>
          <w:szCs w:val="22"/>
        </w:rPr>
        <w:t xml:space="preserve">Factourati et Mafactu proposent des solutions de facturation simples pour auto-entrepreneurs et TPE. Ces solutions se concentrent sur la création de devis et factures avec gestion de stock basique. Leur positionnement prix attractif (souvent freemium) attire le segment entry-level, mais le manque de fonctionnalités avancées (conformité DGI, paiement intégré, analytics) limite leur pertinence pour les entreprises en croissance.</w:t>
      </w:r>
    </w:p>
    <w:p>
      <w:pPr>
        <w:pStyle w:val="Heading2"/>
      </w:pPr>
      <w:r>
        <w:t xml:space="preserve">2.2 Matrice de Comparaison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1700"/>
        <w:gridCol w:w="1700"/>
        <w:gridCol w:w="1700"/>
        <w:gridCol w:w="2000"/>
      </w:tblGrid>
      <w:tr>
        <w:trPr>
          <w:tblHeader/>
        </w:trPr>
        <w:tc>
          <w:tcPr>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18"/>
                <w:szCs w:val="18"/>
              </w:rPr>
              <w:t xml:space="preserve">Fonctionnalité</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18"/>
                <w:szCs w:val="18"/>
              </w:rPr>
              <w:t xml:space="preserve">Hsabati</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18"/>
                <w:szCs w:val="18"/>
              </w:rPr>
              <w:t xml:space="preserve">Hisab</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18"/>
                <w:szCs w:val="18"/>
              </w:rPr>
              <w:t xml:space="preserve">Manageo</w:t>
            </w:r>
          </w:p>
        </w:tc>
        <w:tc>
          <w:tcPr>
            <w:tcBorders>
              <w:top w:val="single" w:color="94A3B8" w:sz="1"/>
              <w:left w:val="single" w:color="94A3B8" w:sz="1"/>
              <w:bottom w:val="single" w:color="94A3B8" w:sz="1"/>
              <w:right w:val="single" w:color="94A3B8" w:sz="1"/>
            </w:tcBorders>
            <w:shd w:fill="F59E0B" w:val="clear"/>
            <w:vAlign w:val="center"/>
          </w:tcPr>
          <w:p>
            <w:pPr>
              <w:jc w:val="center"/>
            </w:pPr>
            <w:r>
              <w:rPr>
                <w:rFonts w:ascii="Times New Roman" w:cs="Times New Roman" w:eastAsia="Times New Roman" w:hAnsi="Times New Roman"/>
                <w:b/>
                <w:bCs/>
                <w:color w:val="000000"/>
                <w:sz w:val="18"/>
                <w:szCs w:val="18"/>
              </w:rPr>
              <w:t xml:space="preserve">Epaiement</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18"/>
                <w:szCs w:val="18"/>
              </w:rPr>
              <w:t xml:space="preserve">Prix minimum</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399 DH</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149 DH</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Variable</w:t>
            </w:r>
          </w:p>
        </w:tc>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b/>
                <w:bCs/>
                <w:color w:val="22C55E"/>
                <w:sz w:val="18"/>
                <w:szCs w:val="18"/>
              </w:rPr>
              <w:t xml:space="preserve">GRATUIT</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18"/>
                <w:szCs w:val="18"/>
              </w:rPr>
              <w:t xml:space="preserve">Conforme DGI 2026</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2C55E"/>
                <w:sz w:val="18"/>
                <w:szCs w:val="18"/>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color w:val="22C55E"/>
                <w:sz w:val="18"/>
                <w:szCs w:val="18"/>
              </w:rPr>
              <w:t xml:space="preserv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18"/>
                <w:szCs w:val="18"/>
              </w:rPr>
              <w:t xml:space="preserve">Liens de paiement</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b/>
                <w:bCs/>
                <w:color w:val="F59E0B"/>
                <w:sz w:val="18"/>
                <w:szCs w:val="18"/>
              </w:rPr>
              <w:t xml:space="preserve">✅ UNIQUE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18"/>
                <w:szCs w:val="18"/>
              </w:rPr>
              <w:t xml:space="preserve">QR Code paiement</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b/>
                <w:bCs/>
                <w:color w:val="F59E0B"/>
                <w:sz w:val="18"/>
                <w:szCs w:val="18"/>
              </w:rPr>
              <w:t xml:space="preserve">✅ UNIQUE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18"/>
                <w:szCs w:val="18"/>
              </w:rPr>
              <w:t xml:space="preserve">WhatsApp sharing</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b/>
                <w:bCs/>
                <w:color w:val="F59E0B"/>
                <w:sz w:val="18"/>
                <w:szCs w:val="18"/>
              </w:rPr>
              <w:t xml:space="preserve">✅ UNIQUE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18"/>
                <w:szCs w:val="18"/>
              </w:rPr>
              <w:t xml:space="preserve">Export UBL XML</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2C55E"/>
                <w:sz w:val="18"/>
                <w:szCs w:val="18"/>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color w:val="EF4444"/>
                <w:sz w:val="18"/>
                <w:szCs w:val="18"/>
              </w:rPr>
              <w:t xml:space="preserve">À AJOUTER</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18"/>
                <w:szCs w:val="18"/>
              </w:rPr>
              <w:t xml:space="preserve">Mode auto-entrepreneur</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b/>
                <w:bCs/>
                <w:color w:val="F59E0B"/>
                <w:sz w:val="18"/>
                <w:szCs w:val="18"/>
              </w:rPr>
              <w:t xml:space="preserve">✅ UNIQUE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18"/>
                <w:szCs w:val="18"/>
              </w:rPr>
              <w:t xml:space="preserve">Interface arabe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2C55E"/>
                <w:sz w:val="18"/>
                <w:szCs w:val="18"/>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color w:val="EF4444"/>
                <w:sz w:val="18"/>
                <w:szCs w:val="18"/>
              </w:rPr>
              <w:t xml:space="preserve">À AJOUTER</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18"/>
                <w:szCs w:val="18"/>
              </w:rPr>
              <w:t xml:space="preserve">Application mobile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w:t>
            </w:r>
          </w:p>
        </w:tc>
        <w:tc>
          <w:tcPr>
            <w:tcBorders>
              <w:top w:val="single" w:color="94A3B8" w:sz="1"/>
              <w:left w:val="single" w:color="94A3B8" w:sz="1"/>
              <w:bottom w:val="single" w:color="94A3B8" w:sz="1"/>
              <w:right w:val="single" w:color="94A3B8" w:sz="1"/>
            </w:tcBorders>
            <w:shd w:fill="F8FAFC" w:val="clear"/>
          </w:tcPr>
          <w:p>
            <w:pPr>
              <w:jc w:val="center"/>
            </w:pPr>
            <w:r>
              <w:rPr>
                <w:rFonts w:ascii="Times New Roman" w:cs="Times New Roman" w:eastAsia="Times New Roman" w:hAnsi="Times New Roman"/>
                <w:color w:val="EF4444"/>
                <w:sz w:val="18"/>
                <w:szCs w:val="18"/>
              </w:rPr>
              <w:t xml:space="preserve">À DÉVELOPPER</w:t>
            </w:r>
          </w:p>
        </w:tc>
      </w:tr>
    </w:tbl>
    <w:p>
      <w:pPr>
        <w:spacing w:after="300" w:before="100"/>
        <w:jc w:val="center"/>
      </w:pPr>
      <w:r>
        <w:rPr>
          <w:rFonts w:ascii="Times New Roman" w:cs="Times New Roman" w:eastAsia="Times New Roman" w:hAnsi="Times New Roman"/>
          <w:i/>
          <w:iCs/>
          <w:color w:val="64748B"/>
          <w:sz w:val="18"/>
          <w:szCs w:val="18"/>
        </w:rPr>
        <w:t xml:space="preserve">Tableau 1 : Matrice de Comparaison Concurrentielle</w:t>
      </w:r>
    </w:p>
    <w:p>
      <w:pPr>
        <w:pStyle w:val="Heading1"/>
      </w:pPr>
      <w:r>
        <w:t xml:space="preserve">3. Fonctionnalités Killer - Le Mur Infranchissable</w:t>
      </w:r>
    </w:p>
    <w:p>
      <w:pPr>
        <w:spacing w:after="200" w:line="276"/>
      </w:pPr>
      <w:r>
        <w:rPr>
          <w:rFonts w:ascii="Times New Roman" w:cs="Times New Roman" w:eastAsia="Times New Roman" w:hAnsi="Times New Roman"/>
          <w:sz w:val="22"/>
          <w:szCs w:val="22"/>
        </w:rPr>
        <w:t xml:space="preserve">Pour construire un avantage concurrentiel durable, Epaiement.ma doit implémenter des fonctionnalités que les concurrents ne peuvent pas facilement copier. Ces 'killer features' sont organisées en trois vagues stratégiques, de la différenciation immédiate aux barrières à l'entrée à long terme.</w:t>
      </w:r>
    </w:p>
    <w:p>
      <w:pPr>
        <w:pStyle w:val="Heading2"/>
      </w:pPr>
      <w:r>
        <w:t xml:space="preserve">3.1 Vague 1 : Différenciation Immédiate (0-3 mois)</w:t>
      </w:r>
    </w:p>
    <w:p>
      <w:pPr>
        <w:spacing w:after="100" w:line="276"/>
      </w:pPr>
      <w:r>
        <w:rPr>
          <w:rFonts w:ascii="Times New Roman" w:cs="Times New Roman" w:eastAsia="Times New Roman" w:hAnsi="Times New Roman"/>
          <w:sz w:val="22"/>
          <w:szCs w:val="22"/>
        </w:rPr>
        <w:t xml:space="preserve">Ces fonctionnalités créent une différenciation immédiate et visible sur le marché, capitalisant sur les lacunes existantes des concurrents.</w:t>
      </w:r>
    </w:p>
    <w:p>
      <w:pPr>
        <w:pStyle w:val="ListParagraph"/>
        <w:numPr>
          <w:ilvl w:val="0"/>
          <w:numId w:val="2"/>
        </w:numPr>
        <w:spacing w:after="100" w:line="276"/>
      </w:pPr>
      <w:r>
        <w:rPr>
          <w:rFonts w:ascii="Times New Roman" w:cs="Times New Roman" w:eastAsia="Times New Roman" w:hAnsi="Times New Roman"/>
          <w:b/>
          <w:bCs/>
          <w:sz w:val="22"/>
          <w:szCs w:val="22"/>
        </w:rPr>
        <w:t xml:space="preserve">Export UBL 2.1 XML (Critique DGI 2026) : </w:t>
      </w:r>
      <w:r>
        <w:rPr>
          <w:rFonts w:ascii="Times New Roman" w:cs="Times New Roman" w:eastAsia="Times New Roman" w:hAnsi="Times New Roman"/>
          <w:sz w:val="22"/>
          <w:szCs w:val="22"/>
        </w:rPr>
        <w:t xml:space="preserve">Implémenter l'export au format UBL 2.1 XML requis par la DGI pour la validation des factures électroniques. C'est une fonctionnalité obligatoire que Hisab possède déjà et qu'Epaiement.ma doit impérativement ajouter pour être conforme au mandat DGI 2026. Le format UBL (Universal Business Language) est la norme standard pour l'échange de documents commerciaux électroniques.</w:t>
      </w:r>
    </w:p>
    <w:p>
      <w:pPr>
        <w:pStyle w:val="ListParagraph"/>
        <w:numPr>
          <w:ilvl w:val="0"/>
          <w:numId w:val="2"/>
        </w:numPr>
        <w:spacing w:after="100" w:line="276"/>
      </w:pPr>
      <w:r>
        <w:rPr>
          <w:rFonts w:ascii="Times New Roman" w:cs="Times New Roman" w:eastAsia="Times New Roman" w:hAnsi="Times New Roman"/>
          <w:b/>
          <w:bCs/>
          <w:sz w:val="22"/>
          <w:szCs w:val="22"/>
        </w:rPr>
        <w:t xml:space="preserve">Intégration Fatourati Agrégateur (CMI) : </w:t>
      </w:r>
      <w:r>
        <w:rPr>
          <w:rFonts w:ascii="Times New Roman" w:cs="Times New Roman" w:eastAsia="Times New Roman" w:hAnsi="Times New Roman"/>
          <w:sz w:val="22"/>
          <w:szCs w:val="22"/>
        </w:rPr>
        <w:t xml:space="preserve">Connexion directe à la plateforme Fatourati Agrégateur du CMI pour permettre le paiement des factures via tous les canaux bancaires marocains. Cette intégration transforme Epaiement.ma en solution de bout en bout (création + paiement), une capacité unique sur le marché qu'aucun concurrent ne propose actuellement.</w:t>
      </w:r>
    </w:p>
    <w:p>
      <w:pPr>
        <w:pStyle w:val="ListParagraph"/>
        <w:numPr>
          <w:ilvl w:val="0"/>
          <w:numId w:val="2"/>
        </w:numPr>
        <w:spacing w:after="100" w:line="276"/>
      </w:pPr>
      <w:r>
        <w:rPr>
          <w:rFonts w:ascii="Times New Roman" w:cs="Times New Roman" w:eastAsia="Times New Roman" w:hAnsi="Times New Roman"/>
          <w:b/>
          <w:bCs/>
          <w:sz w:val="22"/>
          <w:szCs w:val="22"/>
        </w:rPr>
        <w:t xml:space="preserve">Archivage légal 10 ans (Conformité DGI) : </w:t>
      </w:r>
      <w:r>
        <w:rPr>
          <w:rFonts w:ascii="Times New Roman" w:cs="Times New Roman" w:eastAsia="Times New Roman" w:hAnsi="Times New Roman"/>
          <w:sz w:val="22"/>
          <w:szCs w:val="22"/>
        </w:rPr>
        <w:t xml:space="preserve">Mise en place d'un système d'archivage électronique conforme aux exigences légales marocaines avec conservation des factures pendant 10 ans, horodatage certifié, et intégrité des documents garantie. Hisab propose déjà cette fonctionnalité, il est impératif de l'égaler au minimum.</w:t>
      </w:r>
    </w:p>
    <w:p>
      <w:pPr>
        <w:pStyle w:val="ListParagraph"/>
        <w:numPr>
          <w:ilvl w:val="0"/>
          <w:numId w:val="2"/>
        </w:numPr>
        <w:spacing w:after="100" w:line="276"/>
      </w:pPr>
      <w:r>
        <w:rPr>
          <w:rFonts w:ascii="Times New Roman" w:cs="Times New Roman" w:eastAsia="Times New Roman" w:hAnsi="Times New Roman"/>
          <w:b/>
          <w:bCs/>
          <w:sz w:val="22"/>
          <w:szCs w:val="22"/>
        </w:rPr>
        <w:t xml:space="preserve">Rappels automatiques de paiement : </w:t>
      </w:r>
      <w:r>
        <w:rPr>
          <w:rFonts w:ascii="Times New Roman" w:cs="Times New Roman" w:eastAsia="Times New Roman" w:hAnsi="Times New Roman"/>
          <w:sz w:val="22"/>
          <w:szCs w:val="22"/>
        </w:rPr>
        <w:t xml:space="preserve">Système de relances automatiques par WhatsApp et email pour les factures impayées avec séquençage intelligent (J+7, J+15, J+30). Cette fonctionnalité adresse un pain point majeur des TPE marocaines : le recouvrement des créances. Aucun concurrent ne propose cette automatisation du recouvrement.</w:t>
      </w:r>
    </w:p>
    <w:p>
      <w:pPr>
        <w:pStyle w:val="ListParagraph"/>
        <w:numPr>
          <w:ilvl w:val="0"/>
          <w:numId w:val="2"/>
        </w:numPr>
        <w:spacing w:after="200" w:line="276"/>
      </w:pPr>
      <w:r>
        <w:rPr>
          <w:rFonts w:ascii="Times New Roman" w:cs="Times New Roman" w:eastAsia="Times New Roman" w:hAnsi="Times New Roman"/>
          <w:b/>
          <w:bCs/>
          <w:sz w:val="22"/>
          <w:szCs w:val="22"/>
        </w:rPr>
        <w:t xml:space="preserve">Interface bilingue Français/Arabe : </w:t>
      </w:r>
      <w:r>
        <w:rPr>
          <w:rFonts w:ascii="Times New Roman" w:cs="Times New Roman" w:eastAsia="Times New Roman" w:hAnsi="Times New Roman"/>
          <w:sz w:val="22"/>
          <w:szCs w:val="22"/>
        </w:rPr>
        <w:t xml:space="preserve">Ajout d'une interface complète en arabe (Darija et arabe standard) pour toucher le segment des entrepreneurs non francophones. Hsabati propose déjà une interface arabe, c'est un avantage à égaler rapidement pour ne pas perdre ce segment de marché important.</w:t>
      </w:r>
    </w:p>
    <w:p>
      <w:pPr>
        <w:pStyle w:val="Heading2"/>
      </w:pPr>
      <w:r>
        <w:t xml:space="preserve">3.2 Vague 2 : Avantages Concurrentiels (3-6 mois)</w:t>
      </w:r>
    </w:p>
    <w:p>
      <w:pPr>
        <w:spacing w:after="100" w:line="276"/>
      </w:pPr>
      <w:r>
        <w:rPr>
          <w:rFonts w:ascii="Times New Roman" w:cs="Times New Roman" w:eastAsia="Times New Roman" w:hAnsi="Times New Roman"/>
          <w:sz w:val="22"/>
          <w:szCs w:val="22"/>
        </w:rPr>
        <w:t xml:space="preserve">Ces fonctionnalités construisent des avantages concurrentiels plus profonds, nécessitant un investissement technologique mais créant des barrières significatives.</w:t>
      </w:r>
    </w:p>
    <w:p>
      <w:pPr>
        <w:pStyle w:val="ListParagraph"/>
        <w:numPr>
          <w:ilvl w:val="0"/>
          <w:numId w:val="3"/>
        </w:numPr>
        <w:spacing w:after="100" w:line="276"/>
      </w:pPr>
      <w:r>
        <w:rPr>
          <w:rFonts w:ascii="Times New Roman" w:cs="Times New Roman" w:eastAsia="Times New Roman" w:hAnsi="Times New Roman"/>
          <w:b/>
          <w:bCs/>
          <w:sz w:val="22"/>
          <w:szCs w:val="22"/>
        </w:rPr>
        <w:t xml:space="preserve">Factures récurrentes automatisées : </w:t>
      </w:r>
      <w:r>
        <w:rPr>
          <w:rFonts w:ascii="Times New Roman" w:cs="Times New Roman" w:eastAsia="Times New Roman" w:hAnsi="Times New Roman"/>
          <w:sz w:val="22"/>
          <w:szCs w:val="22"/>
        </w:rPr>
        <w:t xml:space="preserve">Création de factures automatiques pour les abonnements et contrats récurrents avec génération programmée (mensuelle, trimestrielle, annuelle). Cette fonctionnalité cible les professions libérales, coachs, consultants et SaaS marocains qui facturent de manière récurrente. Le système doit gérer les indexations automatiques et les renouvellements de contrat.</w:t>
      </w:r>
    </w:p>
    <w:p>
      <w:pPr>
        <w:pStyle w:val="ListParagraph"/>
        <w:numPr>
          <w:ilvl w:val="0"/>
          <w:numId w:val="3"/>
        </w:numPr>
        <w:spacing w:after="100" w:line="276"/>
      </w:pPr>
      <w:r>
        <w:rPr>
          <w:rFonts w:ascii="Times New Roman" w:cs="Times New Roman" w:eastAsia="Times New Roman" w:hAnsi="Times New Roman"/>
          <w:b/>
          <w:bCs/>
          <w:sz w:val="22"/>
          <w:szCs w:val="22"/>
        </w:rPr>
        <w:t xml:space="preserve">Portail client self-service : </w:t>
      </w:r>
      <w:r>
        <w:rPr>
          <w:rFonts w:ascii="Times New Roman" w:cs="Times New Roman" w:eastAsia="Times New Roman" w:hAnsi="Times New Roman"/>
          <w:sz w:val="22"/>
          <w:szCs w:val="22"/>
        </w:rPr>
        <w:t xml:space="preserve">Création d'un portail client où les clients peuvent consulter leurs factures, télécharger les PDF, voir leur historique de paiement, et effectuer des paiements en ligne. Ce portail améliore l'expérience client et réduit les questions de support. Chaque utilisateur Epaiement.ma dispose d'une URL personnalisée pour son portail client (ex: monentreprise.epaiement.ma/clients).</w:t>
      </w:r>
    </w:p>
    <w:p>
      <w:pPr>
        <w:pStyle w:val="ListParagraph"/>
        <w:numPr>
          <w:ilvl w:val="0"/>
          <w:numId w:val="3"/>
        </w:numPr>
        <w:spacing w:after="100" w:line="276"/>
      </w:pPr>
      <w:r>
        <w:rPr>
          <w:rFonts w:ascii="Times New Roman" w:cs="Times New Roman" w:eastAsia="Times New Roman" w:hAnsi="Times New Roman"/>
          <w:b/>
          <w:bCs/>
          <w:sz w:val="22"/>
          <w:szCs w:val="22"/>
        </w:rPr>
        <w:t xml:space="preserve">Gestion des avoirs et notes de crédit : </w:t>
      </w:r>
      <w:r>
        <w:rPr>
          <w:rFonts w:ascii="Times New Roman" w:cs="Times New Roman" w:eastAsia="Times New Roman" w:hAnsi="Times New Roman"/>
          <w:sz w:val="22"/>
          <w:szCs w:val="22"/>
        </w:rPr>
        <w:t xml:space="preserve">Création d'avoirs et notes de crédit conformes DGI avec lien automatique vers la facture d'origine. Cette fonctionnalité est essentielle pour la gestion des retours et remboursements, et aucun concurrent marocain ne la propose de manière intégrée avec la comptabilité TVA.</w:t>
      </w:r>
    </w:p>
    <w:p>
      <w:pPr>
        <w:pStyle w:val="ListParagraph"/>
        <w:numPr>
          <w:ilvl w:val="0"/>
          <w:numId w:val="3"/>
        </w:numPr>
        <w:spacing w:after="100" w:line="276"/>
      </w:pPr>
      <w:r>
        <w:rPr>
          <w:rFonts w:ascii="Times New Roman" w:cs="Times New Roman" w:eastAsia="Times New Roman" w:hAnsi="Times New Roman"/>
          <w:b/>
          <w:bCs/>
          <w:sz w:val="22"/>
          <w:szCs w:val="22"/>
        </w:rPr>
        <w:t xml:space="preserve">Scanner de factures fournisseurs (OCR) : </w:t>
      </w:r>
      <w:r>
        <w:rPr>
          <w:rFonts w:ascii="Times New Roman" w:cs="Times New Roman" w:eastAsia="Times New Roman" w:hAnsi="Times New Roman"/>
          <w:sz w:val="22"/>
          <w:szCs w:val="22"/>
        </w:rPr>
        <w:t xml:space="preserve">Fonctionnalité OCR pour scanner et digitaliser les factures fournisseurs papier, avec extraction automatique des données (fournisseur, montant, TVA, date). Cette fonctionnalité transforme Epaiement.ma en hub central de toutes les factures (clients et fournisseurs), créant une valeur unique pour la gestion de la TVA déductible.</w:t>
      </w:r>
    </w:p>
    <w:p>
      <w:pPr>
        <w:pStyle w:val="ListParagraph"/>
        <w:numPr>
          <w:ilvl w:val="0"/>
          <w:numId w:val="3"/>
        </w:numPr>
        <w:spacing w:after="200" w:line="276"/>
      </w:pPr>
      <w:r>
        <w:rPr>
          <w:rFonts w:ascii="Times New Roman" w:cs="Times New Roman" w:eastAsia="Times New Roman" w:hAnsi="Times New Roman"/>
          <w:b/>
          <w:bCs/>
          <w:sz w:val="22"/>
          <w:szCs w:val="22"/>
        </w:rPr>
        <w:t xml:space="preserve">Rapports TVA pré-remplis : </w:t>
      </w:r>
      <w:r>
        <w:rPr>
          <w:rFonts w:ascii="Times New Roman" w:cs="Times New Roman" w:eastAsia="Times New Roman" w:hAnsi="Times New Roman"/>
          <w:sz w:val="22"/>
          <w:szCs w:val="22"/>
        </w:rPr>
        <w:t xml:space="preserve">Génération automatique des déclarations TVA mensuelles et trimestrielles pré-remplies avec le détail des TVA collectées et déductibles par taux (20%, 14%, 10%, 7%). Export au format attendu par la DGI pour simplifier la déclaration fiscale. Cette fonctionnalité représente un gain de temps considérable pour les experts-comptables et créée un canal de distribution naturel via les cabinets comptables.</w:t>
      </w:r>
    </w:p>
    <w:p>
      <w:pPr>
        <w:pStyle w:val="Heading2"/>
      </w:pPr>
      <w:r>
        <w:t xml:space="preserve">3.3 Vague 3 : Barrières à l'Entrée (6-12 mois)</w:t>
      </w:r>
    </w:p>
    <w:p>
      <w:pPr>
        <w:spacing w:after="100" w:line="276"/>
      </w:pPr>
      <w:r>
        <w:rPr>
          <w:rFonts w:ascii="Times New Roman" w:cs="Times New Roman" w:eastAsia="Times New Roman" w:hAnsi="Times New Roman"/>
          <w:sz w:val="22"/>
          <w:szCs w:val="22"/>
        </w:rPr>
        <w:t xml:space="preserve">Ces fonctionnalités construisent des barrières à l'entrée durables, nécessitant un investissement significatif mais créant une position de leadership défendable.</w:t>
      </w:r>
    </w:p>
    <w:p>
      <w:pPr>
        <w:pStyle w:val="ListParagraph"/>
        <w:numPr>
          <w:ilvl w:val="0"/>
          <w:numId w:val="4"/>
        </w:numPr>
        <w:spacing w:after="100" w:line="276"/>
      </w:pPr>
      <w:r>
        <w:rPr>
          <w:rFonts w:ascii="Times New Roman" w:cs="Times New Roman" w:eastAsia="Times New Roman" w:hAnsi="Times New Roman"/>
          <w:b/>
          <w:bCs/>
          <w:sz w:val="22"/>
          <w:szCs w:val="22"/>
        </w:rPr>
        <w:t xml:space="preserve">Application mobile native (iOS/Android) : </w:t>
      </w:r>
      <w:r>
        <w:rPr>
          <w:rFonts w:ascii="Times New Roman" w:cs="Times New Roman" w:eastAsia="Times New Roman" w:hAnsi="Times New Roman"/>
          <w:sz w:val="22"/>
          <w:szCs w:val="22"/>
        </w:rPr>
        <w:t xml:space="preserve">Développement d'applications mobiles natives avec fonctionnalités offline, notification push pour les paiements reçus, création de factures en mobilité (idéal pour artisans et prestataires de terrain), et scan de documents via caméra. Aucun concurrent marocain ne dispose d'une application mobile native performante.</w:t>
      </w:r>
    </w:p>
    <w:p>
      <w:pPr>
        <w:pStyle w:val="ListParagraph"/>
        <w:numPr>
          <w:ilvl w:val="0"/>
          <w:numId w:val="4"/>
        </w:numPr>
        <w:spacing w:after="100" w:line="276"/>
      </w:pPr>
      <w:r>
        <w:rPr>
          <w:rFonts w:ascii="Times New Roman" w:cs="Times New Roman" w:eastAsia="Times New Roman" w:hAnsi="Times New Roman"/>
          <w:b/>
          <w:bCs/>
          <w:sz w:val="22"/>
          <w:szCs w:val="22"/>
        </w:rPr>
        <w:t xml:space="preserve">API publique et webhooks : </w:t>
      </w:r>
      <w:r>
        <w:rPr>
          <w:rFonts w:ascii="Times New Roman" w:cs="Times New Roman" w:eastAsia="Times New Roman" w:hAnsi="Times New Roman"/>
          <w:sz w:val="22"/>
          <w:szCs w:val="22"/>
        </w:rPr>
        <w:t xml:space="preserve">API REST complète permettant l'intégration avec les systèmes ERP, CRM et e-commerce des clients. Webhooks pour les événements critiques (paiement reçu, facture créée, rappel envoyé). Cette ouverture transforme Epaiement.ma en plateforme et crée un écosystème de partenaires et développeurs.</w:t>
      </w:r>
    </w:p>
    <w:p>
      <w:pPr>
        <w:pStyle w:val="ListParagraph"/>
        <w:numPr>
          <w:ilvl w:val="0"/>
          <w:numId w:val="4"/>
        </w:numPr>
        <w:spacing w:after="100" w:line="276"/>
      </w:pPr>
      <w:r>
        <w:rPr>
          <w:rFonts w:ascii="Times New Roman" w:cs="Times New Roman" w:eastAsia="Times New Roman" w:hAnsi="Times New Roman"/>
          <w:b/>
          <w:bCs/>
          <w:sz w:val="22"/>
          <w:szCs w:val="22"/>
        </w:rPr>
        <w:t xml:space="preserve">Gestion de stock intégrée : </w:t>
      </w:r>
      <w:r>
        <w:rPr>
          <w:rFonts w:ascii="Times New Roman" w:cs="Times New Roman" w:eastAsia="Times New Roman" w:hAnsi="Times New Roman"/>
          <w:sz w:val="22"/>
          <w:szCs w:val="22"/>
        </w:rPr>
        <w:t xml:space="preserve">Module de gestion de stock avec inventaire, alertes de rupture, valorisation au coût moyen pondéré, et liaison automatique avec les factures (sortie de stock sur facturation). Cette fonctionnalité élimine le besoin d'outils séparés pour les commerçants et crée un verrouillage de l'utilisateur.</w:t>
      </w:r>
    </w:p>
    <w:p>
      <w:pPr>
        <w:pStyle w:val="ListParagraph"/>
        <w:numPr>
          <w:ilvl w:val="0"/>
          <w:numId w:val="4"/>
        </w:numPr>
        <w:spacing w:after="100" w:line="276"/>
      </w:pPr>
      <w:r>
        <w:rPr>
          <w:rFonts w:ascii="Times New Roman" w:cs="Times New Roman" w:eastAsia="Times New Roman" w:hAnsi="Times New Roman"/>
          <w:b/>
          <w:bCs/>
          <w:sz w:val="22"/>
          <w:szCs w:val="22"/>
        </w:rPr>
        <w:t xml:space="preserve">Signature électronique des factures : </w:t>
      </w:r>
      <w:r>
        <w:rPr>
          <w:rFonts w:ascii="Times New Roman" w:cs="Times New Roman" w:eastAsia="Times New Roman" w:hAnsi="Times New Roman"/>
          <w:sz w:val="22"/>
          <w:szCs w:val="22"/>
        </w:rPr>
        <w:t xml:space="preserve">Intégration d'un système de signature électronique certifié pour valider l'authenticité des factures. Cette fonctionnalité anticipe les évolutions réglementaires futures et ajoute une couche de confiance pour les transactions B2B importantes.</w:t>
      </w:r>
    </w:p>
    <w:p>
      <w:pPr>
        <w:pStyle w:val="ListParagraph"/>
        <w:numPr>
          <w:ilvl w:val="0"/>
          <w:numId w:val="4"/>
        </w:numPr>
        <w:spacing w:after="200" w:line="276"/>
      </w:pPr>
      <w:r>
        <w:rPr>
          <w:rFonts w:ascii="Times New Roman" w:cs="Times New Roman" w:eastAsia="Times New Roman" w:hAnsi="Times New Roman"/>
          <w:b/>
          <w:bCs/>
          <w:sz w:val="22"/>
          <w:szCs w:val="22"/>
        </w:rPr>
        <w:t xml:space="preserve">Tableau de bord analytics avancé : </w:t>
      </w:r>
      <w:r>
        <w:rPr>
          <w:rFonts w:ascii="Times New Roman" w:cs="Times New Roman" w:eastAsia="Times New Roman" w:hAnsi="Times New Roman"/>
          <w:sz w:val="22"/>
          <w:szCs w:val="22"/>
        </w:rPr>
        <w:t xml:space="preserve">Dashboard avec KPIs temps réel (DSO, taux d'impayés, évolution CA, concentration clients), prévisions de trésorerie basées sur l'historique, et benchmark sectoriel anonymisé. Ces analytics transforment Epaiement.ma en outil de pilotage stratégique, pas seulement en outil de facturation.</w:t>
      </w:r>
    </w:p>
    <w:p>
      <w:pPr>
        <w:pStyle w:val="Heading1"/>
      </w:pPr>
      <w:r>
        <w:t xml:space="preserve">4. Proposition de Valeur Unique</w:t>
      </w:r>
    </w:p>
    <w:p>
      <w:pPr>
        <w:spacing w:after="200" w:line="276"/>
      </w:pPr>
      <w:r>
        <w:rPr>
          <w:rFonts w:ascii="Times New Roman" w:cs="Times New Roman" w:eastAsia="Times New Roman" w:hAnsi="Times New Roman"/>
          <w:sz w:val="22"/>
          <w:szCs w:val="22"/>
        </w:rPr>
        <w:t xml:space="preserve">La combinaison de ces fonctionnalités crée une proposition de valeur unique et défendable. Epaiement.ma devient la seule solution marocaine proposant un parcours complet : de la création de facture conforme DGI 2026 au paiement effectif par le client, avec suivi automatisé du recouvrement. Cette chaîne de valeur intégrée représente un différentiateur majeur face à des concurrents focalisés sur un seul segment.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2000"/>
        <w:gridCol w:w="2000"/>
        <w:gridCol w:w="2500"/>
      </w:tblGrid>
      <w:tr>
        <w:trPr>
          <w:tblHeader/>
        </w:trPr>
        <w:tc>
          <w:tcPr>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18"/>
                <w:szCs w:val="18"/>
              </w:rPr>
              <w:t xml:space="preserve">Fonctionnalité</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18"/>
                <w:szCs w:val="18"/>
              </w:rPr>
              <w:t xml:space="preserve">Priorité</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18"/>
                <w:szCs w:val="18"/>
              </w:rPr>
              <w:t xml:space="preserve">Délai</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Times New Roman" w:cs="Times New Roman" w:eastAsia="Times New Roman" w:hAnsi="Times New Roman"/>
                <w:b/>
                <w:bCs/>
                <w:color w:val="FFFFFF"/>
                <w:sz w:val="18"/>
                <w:szCs w:val="18"/>
              </w:rPr>
              <w:t xml:space="preserve">Impact Concurrentiel</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18"/>
                <w:szCs w:val="18"/>
              </w:rPr>
              <w:t xml:space="preserve">Export UBL XML DGI</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b/>
                <w:bCs/>
                <w:color w:val="EF4444"/>
                <w:sz w:val="18"/>
                <w:szCs w:val="18"/>
              </w:rPr>
              <w:t xml:space="preserve">CRITIQUE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Immédiat</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Égale Hisab</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18"/>
                <w:szCs w:val="18"/>
              </w:rPr>
              <w:t xml:space="preserve">Intégration Fatourati CMI</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b/>
                <w:bCs/>
                <w:color w:val="EF4444"/>
                <w:sz w:val="18"/>
                <w:szCs w:val="18"/>
              </w:rPr>
              <w:t xml:space="preserve">CRITIQUE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1-2 mois</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b/>
                <w:bCs/>
                <w:color w:val="F59E0B"/>
                <w:sz w:val="18"/>
                <w:szCs w:val="18"/>
              </w:rPr>
              <w:t xml:space="preserve">KILLER UNIQUE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18"/>
                <w:szCs w:val="18"/>
              </w:rPr>
              <w:t xml:space="preserve">Interface arabe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b/>
                <w:bCs/>
                <w:color w:val="F59E0B"/>
                <w:sz w:val="18"/>
                <w:szCs w:val="18"/>
              </w:rPr>
              <w:t xml:space="preserve">HAUTE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1 mois</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Égale Hsabati</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18"/>
                <w:szCs w:val="18"/>
              </w:rPr>
              <w:t xml:space="preserve">Rappels automatiques</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b/>
                <w:bCs/>
                <w:color w:val="F59E0B"/>
                <w:sz w:val="18"/>
                <w:szCs w:val="18"/>
              </w:rPr>
              <w:t xml:space="preserve">HAUTE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1 mois</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b/>
                <w:bCs/>
                <w:color w:val="F59E0B"/>
                <w:sz w:val="18"/>
                <w:szCs w:val="18"/>
              </w:rPr>
              <w:t xml:space="preserve">KILLER UNIQUE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18"/>
                <w:szCs w:val="18"/>
              </w:rPr>
              <w:t xml:space="preserve">Application mobile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b/>
                <w:bCs/>
                <w:color w:val="F59E0B"/>
                <w:sz w:val="18"/>
                <w:szCs w:val="18"/>
              </w:rPr>
              <w:t xml:space="preserve">HAUTE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3-6 mois</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b/>
                <w:bCs/>
                <w:color w:val="F59E0B"/>
                <w:sz w:val="18"/>
                <w:szCs w:val="18"/>
              </w:rPr>
              <w:t xml:space="preserve">KILLER UNIQUE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18"/>
                <w:szCs w:val="18"/>
              </w:rPr>
              <w:t xml:space="preserve">Scanner OCR factures</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3B82F6"/>
                <w:sz w:val="18"/>
                <w:szCs w:val="18"/>
              </w:rPr>
              <w:t xml:space="preserve">MOYENNE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3-4 mois</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b/>
                <w:bCs/>
                <w:color w:val="F59E0B"/>
                <w:sz w:val="18"/>
                <w:szCs w:val="18"/>
              </w:rPr>
              <w:t xml:space="preserve">KILLER UNIQUE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18"/>
                <w:szCs w:val="18"/>
              </w:rPr>
              <w:t xml:space="preserve">API publique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3B82F6"/>
                <w:sz w:val="18"/>
                <w:szCs w:val="18"/>
              </w:rPr>
              <w:t xml:space="preserve">MOYENNE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2-3 mois</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18"/>
                <w:szCs w:val="18"/>
              </w:rPr>
              <w:t xml:space="preserve">Crée écosystème</w:t>
            </w:r>
          </w:p>
        </w:tc>
      </w:tr>
    </w:tbl>
    <w:p>
      <w:pPr>
        <w:spacing w:after="300" w:before="100"/>
        <w:jc w:val="center"/>
      </w:pPr>
      <w:r>
        <w:rPr>
          <w:rFonts w:ascii="Times New Roman" w:cs="Times New Roman" w:eastAsia="Times New Roman" w:hAnsi="Times New Roman"/>
          <w:i/>
          <w:iCs/>
          <w:color w:val="64748B"/>
          <w:sz w:val="18"/>
          <w:szCs w:val="18"/>
        </w:rPr>
        <w:t xml:space="preserve">Tableau 2 : Matrice de Priorisation des Fonctionnalités</w:t>
      </w:r>
    </w:p>
    <w:p>
      <w:pPr>
        <w:pStyle w:val="Heading1"/>
      </w:pPr>
      <w:r>
        <w:t xml:space="preserve">5. Feuille de Route d'Implémentation</w:t>
      </w:r>
    </w:p>
    <w:p>
      <w:pPr>
        <w:pStyle w:val="Heading2"/>
      </w:pPr>
      <w:r>
        <w:t xml:space="preserve">5.1 Phase 1 : Fondations (Mois 1-2)</w:t>
      </w:r>
    </w:p>
    <w:p>
      <w:pPr>
        <w:pStyle w:val="ListParagraph"/>
        <w:numPr>
          <w:ilvl w:val="0"/>
          <w:numId w:val="5"/>
        </w:numPr>
        <w:spacing w:after="80" w:line="276"/>
      </w:pPr>
      <w:r>
        <w:rPr>
          <w:rFonts w:ascii="Times New Roman" w:cs="Times New Roman" w:eastAsia="Times New Roman" w:hAnsi="Times New Roman"/>
          <w:sz w:val="22"/>
          <w:szCs w:val="22"/>
        </w:rPr>
        <w:t xml:space="preserve">Export UBL 2.1 XML pour conformité DGI 2026</w:t>
      </w:r>
    </w:p>
    <w:p>
      <w:pPr>
        <w:pStyle w:val="ListParagraph"/>
        <w:numPr>
          <w:ilvl w:val="0"/>
          <w:numId w:val="5"/>
        </w:numPr>
        <w:spacing w:after="80" w:line="276"/>
      </w:pPr>
      <w:r>
        <w:rPr>
          <w:rFonts w:ascii="Times New Roman" w:cs="Times New Roman" w:eastAsia="Times New Roman" w:hAnsi="Times New Roman"/>
          <w:sz w:val="22"/>
          <w:szCs w:val="22"/>
        </w:rPr>
        <w:t xml:space="preserve">Archivage légal 10 ans avec horodatage</w:t>
      </w:r>
    </w:p>
    <w:p>
      <w:pPr>
        <w:pStyle w:val="ListParagraph"/>
        <w:numPr>
          <w:ilvl w:val="0"/>
          <w:numId w:val="5"/>
        </w:numPr>
        <w:spacing w:after="80" w:line="276"/>
      </w:pPr>
      <w:r>
        <w:rPr>
          <w:rFonts w:ascii="Times New Roman" w:cs="Times New Roman" w:eastAsia="Times New Roman" w:hAnsi="Times New Roman"/>
          <w:sz w:val="22"/>
          <w:szCs w:val="22"/>
        </w:rPr>
        <w:t xml:space="preserve">Interface arabe complète</w:t>
      </w:r>
    </w:p>
    <w:p>
      <w:pPr>
        <w:pStyle w:val="ListParagraph"/>
        <w:numPr>
          <w:ilvl w:val="0"/>
          <w:numId w:val="5"/>
        </w:numPr>
        <w:spacing w:after="200" w:line="276"/>
      </w:pPr>
      <w:r>
        <w:rPr>
          <w:rFonts w:ascii="Times New Roman" w:cs="Times New Roman" w:eastAsia="Times New Roman" w:hAnsi="Times New Roman"/>
          <w:sz w:val="22"/>
          <w:szCs w:val="22"/>
        </w:rPr>
        <w:t xml:space="preserve">Système de rappels automatiques WhatsApp/Email</w:t>
      </w:r>
    </w:p>
    <w:p>
      <w:pPr>
        <w:pStyle w:val="Heading2"/>
      </w:pPr>
      <w:r>
        <w:t xml:space="preserve">5.2 Phase 2 : Différenciation (Mois 3-4)</w:t>
      </w:r>
    </w:p>
    <w:p>
      <w:pPr>
        <w:pStyle w:val="ListParagraph"/>
        <w:numPr>
          <w:ilvl w:val="0"/>
          <w:numId w:val="5"/>
        </w:numPr>
        <w:spacing w:after="80" w:line="276"/>
      </w:pPr>
      <w:r>
        <w:rPr>
          <w:rFonts w:ascii="Times New Roman" w:cs="Times New Roman" w:eastAsia="Times New Roman" w:hAnsi="Times New Roman"/>
          <w:sz w:val="22"/>
          <w:szCs w:val="22"/>
        </w:rPr>
        <w:t xml:space="preserve">Intégration Fatourati Agrégateur CMI</w:t>
      </w:r>
    </w:p>
    <w:p>
      <w:pPr>
        <w:pStyle w:val="ListParagraph"/>
        <w:numPr>
          <w:ilvl w:val="0"/>
          <w:numId w:val="5"/>
        </w:numPr>
        <w:spacing w:after="80" w:line="276"/>
      </w:pPr>
      <w:r>
        <w:rPr>
          <w:rFonts w:ascii="Times New Roman" w:cs="Times New Roman" w:eastAsia="Times New Roman" w:hAnsi="Times New Roman"/>
          <w:sz w:val="22"/>
          <w:szCs w:val="22"/>
        </w:rPr>
        <w:t xml:space="preserve">Factures récurrentes automatisées</w:t>
      </w:r>
    </w:p>
    <w:p>
      <w:pPr>
        <w:pStyle w:val="ListParagraph"/>
        <w:numPr>
          <w:ilvl w:val="0"/>
          <w:numId w:val="5"/>
        </w:numPr>
        <w:spacing w:after="80" w:line="276"/>
      </w:pPr>
      <w:r>
        <w:rPr>
          <w:rFonts w:ascii="Times New Roman" w:cs="Times New Roman" w:eastAsia="Times New Roman" w:hAnsi="Times New Roman"/>
          <w:sz w:val="22"/>
          <w:szCs w:val="22"/>
        </w:rPr>
        <w:t xml:space="preserve">Portail client self-service</w:t>
      </w:r>
    </w:p>
    <w:p>
      <w:pPr>
        <w:pStyle w:val="ListParagraph"/>
        <w:numPr>
          <w:ilvl w:val="0"/>
          <w:numId w:val="5"/>
        </w:numPr>
        <w:spacing w:after="200" w:line="276"/>
      </w:pPr>
      <w:r>
        <w:rPr>
          <w:rFonts w:ascii="Times New Roman" w:cs="Times New Roman" w:eastAsia="Times New Roman" w:hAnsi="Times New Roman"/>
          <w:sz w:val="22"/>
          <w:szCs w:val="22"/>
        </w:rPr>
        <w:t xml:space="preserve">Gestion des avoirs et notes de crédit</w:t>
      </w:r>
    </w:p>
    <w:p>
      <w:pPr>
        <w:pStyle w:val="Heading2"/>
      </w:pPr>
      <w:r>
        <w:t xml:space="preserve">5.3 Phase 3 : Leadership (Mois 5-12)</w:t>
      </w:r>
    </w:p>
    <w:p>
      <w:pPr>
        <w:pStyle w:val="ListParagraph"/>
        <w:numPr>
          <w:ilvl w:val="0"/>
          <w:numId w:val="5"/>
        </w:numPr>
        <w:spacing w:after="80" w:line="276"/>
      </w:pPr>
      <w:r>
        <w:rPr>
          <w:rFonts w:ascii="Times New Roman" w:cs="Times New Roman" w:eastAsia="Times New Roman" w:hAnsi="Times New Roman"/>
          <w:sz w:val="22"/>
          <w:szCs w:val="22"/>
        </w:rPr>
        <w:t xml:space="preserve">Application mobile native iOS/Android</w:t>
      </w:r>
    </w:p>
    <w:p>
      <w:pPr>
        <w:pStyle w:val="ListParagraph"/>
        <w:numPr>
          <w:ilvl w:val="0"/>
          <w:numId w:val="5"/>
        </w:numPr>
        <w:spacing w:after="80" w:line="276"/>
      </w:pPr>
      <w:r>
        <w:rPr>
          <w:rFonts w:ascii="Times New Roman" w:cs="Times New Roman" w:eastAsia="Times New Roman" w:hAnsi="Times New Roman"/>
          <w:sz w:val="22"/>
          <w:szCs w:val="22"/>
        </w:rPr>
        <w:t xml:space="preserve">Scanner OCR factures fournisseurs</w:t>
      </w:r>
    </w:p>
    <w:p>
      <w:pPr>
        <w:pStyle w:val="ListParagraph"/>
        <w:numPr>
          <w:ilvl w:val="0"/>
          <w:numId w:val="5"/>
        </w:numPr>
        <w:spacing w:after="80" w:line="276"/>
      </w:pPr>
      <w:r>
        <w:rPr>
          <w:rFonts w:ascii="Times New Roman" w:cs="Times New Roman" w:eastAsia="Times New Roman" w:hAnsi="Times New Roman"/>
          <w:sz w:val="22"/>
          <w:szCs w:val="22"/>
        </w:rPr>
        <w:t xml:space="preserve">API publique et webhooks</w:t>
      </w:r>
    </w:p>
    <w:p>
      <w:pPr>
        <w:pStyle w:val="ListParagraph"/>
        <w:numPr>
          <w:ilvl w:val="0"/>
          <w:numId w:val="5"/>
        </w:numPr>
        <w:spacing w:after="80" w:line="276"/>
      </w:pPr>
      <w:r>
        <w:rPr>
          <w:rFonts w:ascii="Times New Roman" w:cs="Times New Roman" w:eastAsia="Times New Roman" w:hAnsi="Times New Roman"/>
          <w:sz w:val="22"/>
          <w:szCs w:val="22"/>
        </w:rPr>
        <w:t xml:space="preserve">Gestion de stock intégrée</w:t>
      </w:r>
    </w:p>
    <w:p>
      <w:pPr>
        <w:pStyle w:val="ListParagraph"/>
        <w:numPr>
          <w:ilvl w:val="0"/>
          <w:numId w:val="5"/>
        </w:numPr>
        <w:spacing w:after="200" w:line="276"/>
      </w:pPr>
      <w:r>
        <w:rPr>
          <w:rFonts w:ascii="Times New Roman" w:cs="Times New Roman" w:eastAsia="Times New Roman" w:hAnsi="Times New Roman"/>
          <w:sz w:val="22"/>
          <w:szCs w:val="22"/>
        </w:rPr>
        <w:t xml:space="preserve">Dashboard analytics avancé avec prévisions</w:t>
      </w:r>
    </w:p>
    <w:p>
      <w:pPr>
        <w:pStyle w:val="Heading1"/>
      </w:pPr>
      <w:r>
        <w:t xml:space="preserve">6. Conclusion</w:t>
      </w:r>
    </w:p>
    <w:p>
      <w:pPr>
        <w:spacing w:after="200" w:line="276"/>
      </w:pPr>
      <w:r>
        <w:rPr>
          <w:rFonts w:ascii="Times New Roman" w:cs="Times New Roman" w:eastAsia="Times New Roman" w:hAnsi="Times New Roman"/>
          <w:sz w:val="22"/>
          <w:szCs w:val="22"/>
        </w:rPr>
        <w:t xml:space="preserve">L'analyse concurrentielle révèle que Epaiement.ma dispose déjà d'avantages uniques (liens de paiement, QR codes, WhatsApp sharing, mode auto-entrepreneur) que les concurrents ne proposent pas. Pour construire un mur infranchissable, il est impératif d'ajouter rapidement l'export UBL XML (pour égaler Hisab), l'interface arabe (pour égaler Hsabati), et surtout l'intégration Fatourati (pour créer un avantage unique de bout en bout).</w:t>
      </w:r>
    </w:p>
    <w:p>
      <w:pPr>
        <w:spacing w:after="200" w:line="276"/>
      </w:pPr>
      <w:r>
        <w:rPr>
          <w:rFonts w:ascii="Times New Roman" w:cs="Times New Roman" w:eastAsia="Times New Roman" w:hAnsi="Times New Roman"/>
          <w:sz w:val="22"/>
          <w:szCs w:val="22"/>
        </w:rPr>
        <w:t xml:space="preserve">La combinaison de conformité DGI 2026, paiement intégré via Fatourati, recouvrement automatisé, et application mobile créera une proposition de valeur qu'aucun concurrent ne pourra égaler sans investissement majeur. Cette stratégie de 'moat building' positionnera Epaiement.ma comme le leader incontesté de la facturation et du paiement pour les TPE et auto-entrepreneurs marocains.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sur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Epaiement.ma - Analyse Concurrentielle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2026-02-28T19:29:39.180Z</dcterms:created>
  <dcterms:modified xsi:type="dcterms:W3CDTF">2026-02-28T19:29:39.180Z</dcterms:modified>
</cp:coreProperties>
</file>

<file path=docProps/custom.xml><?xml version="1.0" encoding="utf-8"?>
<Properties xmlns="http://schemas.openxmlformats.org/officeDocument/2006/custom-properties" xmlns:vt="http://schemas.openxmlformats.org/officeDocument/2006/docPropsVTypes"/>
</file>