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Partner Donation Reconciliation</w:t>
      </w:r>
    </w:p>
    <w:p>
      <w:pPr>
        <w:pStyle w:val="Subtitle"/>
      </w:pPr>
      <w:r>
        <w:t>Product and technical specification</w:t>
      </w:r>
    </w:p>
    <w:p>
      <w:r>
        <w:t>Version 1.0  |  18 October 2026  |  Public demonstration and local evaluation</w:t>
      </w:r>
    </w:p>
    <w:p>
      <w:r>
        <w:t>Build a working tool that turns partner donation reports, payout reports, and an existing CRM export into an explainable reconciliation and a reviewed import package. The public demonstration must run the real PHP and Laravel processing engine, with synthetic data and an isolated workspace for each visitor.</w:t>
      </w:r>
    </w:p>
    <w:p>
      <w:r>
        <w:t>The intended reviewer is a fundraising engineer or operations colleague evaluating whether the tool handles messy records accurately, explains uncertainty clearly, and can be adapted to an existing workflow.</w:t>
      </w:r>
    </w:p>
    <w:p>
      <w:pPr>
        <w:pStyle w:val="Heading2"/>
      </w:pPr>
      <w:r>
        <w:t>Release decision</w:t>
      </w:r>
    </w:p>
    <w:p>
      <w:pPr>
        <w:pStyle w:val="ListBullet"/>
      </w:pPr>
      <w:r>
        <w:t>Deliver one complete workflow: load reports, validate and reconcile, review exceptions, approve changes, export, and compare a refreshed CRM snapshot.</w:t>
      </w:r>
    </w:p>
    <w:p>
      <w:pPr>
        <w:pStyle w:val="ListBullet"/>
      </w:pPr>
      <w:r>
        <w:t>Use Laravel 13, PHP 8.4, Blade, plain JavaScript, PostgreSQL, and external object storage. Deploy the public application on Vercel using its container runtime.</w:t>
      </w:r>
    </w:p>
    <w:p>
      <w:pPr>
        <w:pStyle w:val="ListBullet"/>
      </w:pPr>
      <w:r>
        <w:t>Start with one synthetic CAF-inspired report family, one organization and partner account per workspace, and GBP. Preserve an adapter boundary for future real report formats.</w:t>
      </w:r>
    </w:p>
    <w:p>
      <w:pPr>
        <w:pStyle w:val="ListBullet"/>
      </w:pPr>
      <w:r>
        <w:t>Publish a no-login demo with built-in scenarios and downloadable sample CSVs. The public upload endpoint accepts only the supplied sample files. Arbitrary files are supported only in the local evaluation mode.</w:t>
      </w:r>
    </w:p>
    <w:p>
      <w:pPr>
        <w:pStyle w:val="Heading2"/>
      </w:pPr>
      <w:r>
        <w:t>Evidence and positioning</w:t>
      </w:r>
    </w:p>
    <w:p>
      <w:r>
        <w:t>GiveDirectly’s fundraising engineering role explicitly includes Laravel, PHP, Salesforce, SQL, and partner CSV processing [1]. CAF publicly documents separate donation and payment reports with different coverage and timing [2]. These support the project’s relevance; they do not establish that GiveDirectly currently lacks reconciliation tooling or has a quantified loss.</w:t>
      </w:r>
    </w:p>
    <w:p>
      <w:r>
        <w:t>Present the project as an independent candidate demonstration. Its report schema, CRM fields, review rules, and sample data are proposed contracts. Compatibility with an actual CAF export or GiveDirectly Salesforce configuration requires later validation.</w:t>
      </w:r>
    </w:p>
    <w:p>
      <w:pPr>
        <w:pStyle w:val="Heading2"/>
      </w:pPr>
      <w:r>
        <w:t>Definition of success</w:t>
      </w:r>
    </w:p>
    <w:p>
      <w:r>
        <w:t>A visitor can complete the guided scenario in approximately three minutes, inspect the evidence behind every proposed change, and download the exact expected result. Every required acceptance test passes. The repository explains setup, deployment, trade-offs, and the work needed for a real integration. No claim of recovered revenue or hiring outcome is part of the product.</w:t>
      </w:r>
    </w:p>
    <w:p>
      <w:r>
        <w:br w:type="page"/>
      </w:r>
    </w:p>
    <w:p>
      <w:pPr>
        <w:pStyle w:val="Heading1"/>
      </w:pPr>
      <w:r>
        <w:t>1 Scope and delivery boundaries</w:t>
      </w:r>
    </w:p>
    <w:p>
      <w:pPr>
        <w:pStyle w:val="Heading2"/>
      </w:pPr>
      <w:r>
        <w:t>Required for the public release</w:t>
      </w:r>
    </w:p>
    <w:p>
      <w:pPr>
        <w:pStyle w:val="ListBullet"/>
      </w:pPr>
      <w:r>
        <w:t>Import all three report types, capture report context, save column mappings, detect schema changes, validate rows, and preserve source provenance.</w:t>
      </w:r>
    </w:p>
    <w:p>
      <w:pPr>
        <w:pStyle w:val="ListBullet"/>
      </w:pPr>
      <w:r>
        <w:t>Detect repeated files, overlapping rows, later revisions, stale reports, and conflicting versions without silently duplicating or replacing gifts.</w:t>
      </w:r>
    </w:p>
    <w:p>
      <w:pPr>
        <w:pStyle w:val="ListBullet"/>
      </w:pPr>
      <w:r>
        <w:t>Match gifts to CRM records by scoped transaction identifiers; suggest ambiguous candidates for human review; show field differences and campaign mapping.</w:t>
      </w:r>
    </w:p>
    <w:p>
      <w:pPr>
        <w:pStyle w:val="ListBullet"/>
      </w:pPr>
      <w:r>
        <w:t>Reconcile payout components and reported totals, including fees, partial refunds, full refunds, reversals, and expected timing differences.</w:t>
      </w:r>
    </w:p>
    <w:p>
      <w:pPr>
        <w:pStyle w:val="ListBullet"/>
      </w:pPr>
      <w:r>
        <w:t>Provide a searchable exception queue, evidence detail, audited review actions, save and resume, and versioned rules and results.</w:t>
      </w:r>
    </w:p>
    <w:p>
      <w:pPr>
        <w:pStyle w:val="ListBullet"/>
      </w:pPr>
      <w:r>
        <w:t>Preview creates, updates, unchanged records, and held records. Produce validated exports and a manifest. Compare a later CRM snapshot to the exported expectations.</w:t>
      </w:r>
    </w:p>
    <w:p>
      <w:pPr>
        <w:pStyle w:val="ListBullet"/>
      </w:pPr>
      <w:r>
        <w:t>Provide accurate processing states, actionable failure recovery, keyboard access, responsive screens, isolated workspaces, expiry, reset, and deterministic demo fixtures.</w:t>
      </w:r>
    </w:p>
    <w:p>
      <w:pPr>
        <w:pStyle w:val="Heading2"/>
      </w:pPr>
      <w:r>
        <w:t>Required for local evaluation</w:t>
      </w:r>
    </w:p>
    <w:p>
      <w:r>
        <w:t>Ship a reproducible Docker Compose setup using the same engine, schemas, and tests. It may accept arbitrary CSV files using saved mappings. Bind to localhost by default. Removing the public sample restriction must require an explicit local configuration value; it must never be an option exposed in the public interface.</w:t>
      </w:r>
    </w:p>
    <w:p>
      <w:pPr>
        <w:pStyle w:val="Heading2"/>
      </w:pPr>
      <w:r>
        <w:t>Deferred until a real integration is available</w:t>
      </w:r>
    </w:p>
    <w:p>
      <w:r>
        <w:t>Salesforce API writes, real CAF adapters, bank statement matching, multiple currencies or foreign exchange, Gift Aid calculation, donor/contact merging, scheduled partner ingestion, multi-user approvals, and organizational authentication are later work. Imported tax or Gift Aid fields may be retained as source evidence, but unsupported components remain held.</w:t>
      </w:r>
    </w:p>
    <w:p>
      <w:r>
        <w:t>The tool does not collect donations, charge cards, issue tax receipts, or send donor communications. A production rollout needs agreed recognition and refund policies, an actual destination schema, access controls, and a private data environment.</w:t>
      </w:r>
    </w:p>
    <w:p>
      <w:pPr>
        <w:pStyle w:val="Heading2"/>
      </w:pPr>
      <w:r>
        <w:t>Public presentation</w:t>
      </w:r>
    </w:p>
    <w:p>
      <w:r>
        <w:t>Use a descriptive title and the persistent label “Independent demo · Synthetic data”. Include links to the source repository, methodology, and sample files. Explain the job-related workflow on the landing page without claiming endorsement or recreating GiveDirectly’s donation website. Show technical integration limitations in the methodology page rather than interrupting every task.</w:t>
      </w:r>
    </w:p>
    <w:p>
      <w:r>
        <w:br w:type="page"/>
      </w:r>
    </w:p>
    <w:p>
      <w:pPr>
        <w:pStyle w:val="Heading1"/>
      </w:pPr>
      <w:r>
        <w:t>2 Visitor experience and screens</w:t>
      </w:r>
    </w:p>
    <w:p>
      <w:pPr>
        <w:pStyle w:val="Heading2"/>
      </w:pPr>
      <w:r>
        <w:t>Start and choose a scenario</w:t>
      </w:r>
    </w:p>
    <w:p>
      <w:r>
        <w:t>The landing page offers “Start guided demo” and “Explore scenarios”. Starting creates a private, temporary workspace in the browser session. A visitor can load the standard scenario in one click, or download and re-upload its three files. Show the expiry time and a persistent reset action. No email address or account is required.</w:t>
      </w:r>
    </w:p>
    <w:p>
      <w:pPr>
        <w:pStyle w:val="Heading2"/>
      </w:pPr>
      <w:r>
        <w:t>Import reports</w:t>
      </w:r>
    </w:p>
    <w:p>
      <w:r>
        <w:t>Show three clearly labeled slots: partner donations, partner payouts, and existing CRM records. Display file name, report date, coverage, row count, mapping profile, and validation result. Provide a preview of the first 20 rows and explain each mapped field. Identify errors by file, source row, column, and suggested correction. Saving a mapping creates a new version.</w:t>
      </w:r>
    </w:p>
    <w:p>
      <w:pPr>
        <w:pStyle w:val="Heading2"/>
      </w:pPr>
      <w:r>
        <w:t>Reconciliation overview</w:t>
      </w:r>
    </w:p>
    <w:p>
      <w:r>
        <w:t>Show distinct counts for proposed creates, proposed updates, unchanged gifts, and held gifts. Separately show payout outcomes and their currencies. Every total has a definition and a link to its underlying records. Display the active report versions and coverage warnings. Avoid a single green status that implies all three sources agree.</w:t>
      </w:r>
    </w:p>
    <w:p>
      <w:pPr>
        <w:pStyle w:val="Heading2"/>
      </w:pPr>
      <w:r>
        <w:t>Exceptions and evidence</w:t>
      </w:r>
    </w:p>
    <w:p>
      <w:r>
        <w:t>Use a paginated table with search and filters for issue type, severity, payout, campaign, review state, and amount. Selecting a row opens a detail page or accessible drawer with source records, matching reasons, field differences, payout components, and decision history. The primary action explains what it changes.</w:t>
      </w:r>
    </w:p>
    <w:p>
      <w:pPr>
        <w:pStyle w:val="Heading2"/>
      </w:pPr>
      <w:r>
        <w:t>Review and export</w:t>
      </w:r>
    </w:p>
    <w:p>
      <w:r>
        <w:t>Reviewers map a campaign, confirm a candidate transaction match, approve a valid action, or hold a record with a reason. The export page shows before and after values and the exact number of creates, updates, and exclusions. Creating an export records an immutable batch; downloading it does not imply a CRM write.</w:t>
      </w:r>
    </w:p>
    <w:p>
      <w:pPr>
        <w:pStyle w:val="Heading2"/>
      </w:pPr>
      <w:r>
        <w:t>Confirm and inspect history</w:t>
      </w:r>
    </w:p>
    <w:p>
      <w:r>
        <w:t>A visitor loads the provided post-import CRM snapshot to compare it against the export. Label the action “Simulate CRM confirmation” in the public demo. Show matched expectations, mismatches, and records that cannot be checked. A history view lists imports, rule versions, reconciliation runs, decisions, and exports.</w:t>
      </w:r>
    </w:p>
    <w:p>
      <w:pPr>
        <w:pStyle w:val="Heading2"/>
      </w:pPr>
      <w:r>
        <w:t>Interaction details</w:t>
      </w:r>
    </w:p>
    <w:p>
      <w:r>
        <w:t>Desktop tables retain visible column headers and amount alignment. At narrow widths, retain the record identifier and main status while moving secondary fields into detail. Use text as well as color for statuses. Support keyboard-only upload alternatives, visible focus, semantic table headers, accessible error summaries, and focus return after dialogs. Processing indicators reflect real stages; do not invent percentage progress.</w:t>
      </w:r>
    </w:p>
    <w:p>
      <w:r>
        <w:br w:type="page"/>
      </w:r>
    </w:p>
    <w:p>
      <w:pPr>
        <w:pStyle w:val="Heading1"/>
      </w:pPr>
      <w:r>
        <w:t>3 Import context and donation contract</w:t>
      </w:r>
    </w:p>
    <w:p>
      <w:r>
        <w:t>The versioned adapter profile demo_caf_v1 defines the following canonical contract. It is inspired by public report semantics and is not represented as an actual CAF export format. Public fixtures include a manifest that supplies their context; local users enter and confirm that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880"/>
        <w:gridCol w:w="7200"/>
      </w:tblGrid>
      <w:tr>
        <w:trPr>
          <w:cantSplit/>
          <w:tblHeader/>
        </w:trPr>
        <w:tc>
          <w:tcPr>
            <w:tcW w:type="dxa" w:w="2880"/>
            <w:vAlign w:val="center"/>
            <w:shd w:fill="E9EEF3"/>
          </w:tcPr>
          <w:p>
            <w:pPr>
              <w:spacing w:after="0" w:before="0" w:line="245" w:lineRule="auto"/>
            </w:pPr>
            <w:r>
              <w:rPr>
                <w:b/>
                <w:color w:val="000000"/>
                <w:sz w:val="20"/>
              </w:rPr>
              <w:t>Context field</w:t>
            </w:r>
          </w:p>
        </w:tc>
        <w:tc>
          <w:tcPr>
            <w:tcW w:type="dxa" w:w="7200"/>
            <w:vAlign w:val="center"/>
            <w:shd w:fill="E9EEF3"/>
          </w:tcPr>
          <w:p>
            <w:pPr>
              <w:spacing w:after="0" w:before="0" w:line="245" w:lineRule="auto"/>
            </w:pPr>
            <w:r>
              <w:rPr>
                <w:b/>
                <w:color w:val="000000"/>
                <w:sz w:val="20"/>
              </w:rPr>
              <w:t>Required meaning</w:t>
            </w:r>
          </w:p>
        </w:tc>
      </w:tr>
      <w:tr>
        <w:trPr>
          <w:cantSplit/>
        </w:trPr>
        <w:tc>
          <w:tcPr>
            <w:tcW w:type="dxa" w:w="2880"/>
            <w:vAlign w:val="center"/>
            <w:shd w:fill="FFFFFF"/>
          </w:tcPr>
          <w:p>
            <w:pPr>
              <w:spacing w:after="0" w:before="0" w:line="245" w:lineRule="auto"/>
            </w:pPr>
            <w:r>
              <w:rPr>
                <w:b w:val="0"/>
                <w:color w:val="000000"/>
                <w:sz w:val="20"/>
              </w:rPr>
              <w:t>provider and account</w:t>
            </w:r>
          </w:p>
        </w:tc>
        <w:tc>
          <w:tcPr>
            <w:tcW w:type="dxa" w:w="7200"/>
            <w:vAlign w:val="center"/>
            <w:shd w:fill="FFFFFF"/>
          </w:tcPr>
          <w:p>
            <w:pPr>
              <w:spacing w:after="0" w:before="0" w:line="245" w:lineRule="auto"/>
            </w:pPr>
            <w:r>
              <w:rPr>
                <w:b w:val="0"/>
                <w:color w:val="000000"/>
                <w:sz w:val="20"/>
              </w:rPr>
              <w:t>Namespace for source identifiers; defaults demo_caf and demo_account.</w:t>
            </w:r>
          </w:p>
        </w:tc>
      </w:tr>
      <w:tr>
        <w:trPr>
          <w:cantSplit/>
        </w:trPr>
        <w:tc>
          <w:tcPr>
            <w:tcW w:type="dxa" w:w="2880"/>
            <w:vAlign w:val="center"/>
            <w:shd w:fill="FFFFFF"/>
          </w:tcPr>
          <w:p>
            <w:pPr>
              <w:spacing w:after="0" w:before="0" w:line="245" w:lineRule="auto"/>
            </w:pPr>
            <w:r>
              <w:rPr>
                <w:b w:val="0"/>
                <w:color w:val="000000"/>
                <w:sz w:val="20"/>
              </w:rPr>
              <w:t>organization and currency</w:t>
            </w:r>
          </w:p>
        </w:tc>
        <w:tc>
          <w:tcPr>
            <w:tcW w:type="dxa" w:w="7200"/>
            <w:vAlign w:val="center"/>
            <w:shd w:fill="FFFFFF"/>
          </w:tcPr>
          <w:p>
            <w:pPr>
              <w:spacing w:after="0" w:before="0" w:line="245" w:lineRule="auto"/>
            </w:pPr>
            <w:r>
              <w:rPr>
                <w:b w:val="0"/>
                <w:color w:val="000000"/>
                <w:sz w:val="20"/>
              </w:rPr>
              <w:t>One entity and GBP per workspace; mixed entities or currencies are held.</w:t>
            </w:r>
          </w:p>
        </w:tc>
      </w:tr>
      <w:tr>
        <w:trPr>
          <w:cantSplit/>
        </w:trPr>
        <w:tc>
          <w:tcPr>
            <w:tcW w:type="dxa" w:w="2880"/>
            <w:vAlign w:val="center"/>
            <w:shd w:fill="FFFFFF"/>
          </w:tcPr>
          <w:p>
            <w:pPr>
              <w:spacing w:after="0" w:before="0" w:line="245" w:lineRule="auto"/>
            </w:pPr>
            <w:r>
              <w:rPr>
                <w:b w:val="0"/>
                <w:color w:val="000000"/>
                <w:sz w:val="20"/>
              </w:rPr>
              <w:t>report type and generated_at</w:t>
            </w:r>
          </w:p>
        </w:tc>
        <w:tc>
          <w:tcPr>
            <w:tcW w:type="dxa" w:w="7200"/>
            <w:vAlign w:val="center"/>
            <w:shd w:fill="FFFFFF"/>
          </w:tcPr>
          <w:p>
            <w:pPr>
              <w:spacing w:after="0" w:before="0" w:line="245" w:lineRule="auto"/>
            </w:pPr>
            <w:r>
              <w:rPr>
                <w:b w:val="0"/>
                <w:color w:val="000000"/>
                <w:sz w:val="20"/>
              </w:rPr>
              <w:t>Donations, payouts, or CRM; export timestamp with timezone.</w:t>
            </w:r>
          </w:p>
        </w:tc>
      </w:tr>
      <w:tr>
        <w:trPr>
          <w:cantSplit/>
        </w:trPr>
        <w:tc>
          <w:tcPr>
            <w:tcW w:type="dxa" w:w="2880"/>
            <w:vAlign w:val="center"/>
            <w:shd w:fill="FFFFFF"/>
          </w:tcPr>
          <w:p>
            <w:pPr>
              <w:spacing w:after="0" w:before="0" w:line="245" w:lineRule="auto"/>
            </w:pPr>
            <w:r>
              <w:rPr>
                <w:b w:val="0"/>
                <w:color w:val="000000"/>
                <w:sz w:val="20"/>
              </w:rPr>
              <w:t>coverage_start and coverage_end</w:t>
            </w:r>
          </w:p>
        </w:tc>
        <w:tc>
          <w:tcPr>
            <w:tcW w:type="dxa" w:w="7200"/>
            <w:vAlign w:val="center"/>
            <w:shd w:fill="FFFFFF"/>
          </w:tcPr>
          <w:p>
            <w:pPr>
              <w:spacing w:after="0" w:before="0" w:line="245" w:lineRule="auto"/>
            </w:pPr>
            <w:r>
              <w:rPr>
                <w:b w:val="0"/>
                <w:color w:val="000000"/>
                <w:sz w:val="20"/>
              </w:rPr>
              <w:t>Inclusive dates, the date field being filtered, and the report timezone.</w:t>
            </w:r>
          </w:p>
        </w:tc>
      </w:tr>
      <w:tr>
        <w:trPr>
          <w:cantSplit/>
        </w:trPr>
        <w:tc>
          <w:tcPr>
            <w:tcW w:type="dxa" w:w="2880"/>
            <w:vAlign w:val="center"/>
            <w:shd w:fill="FFFFFF"/>
          </w:tcPr>
          <w:p>
            <w:pPr>
              <w:spacing w:after="0" w:before="0" w:line="245" w:lineRule="auto"/>
            </w:pPr>
            <w:r>
              <w:rPr>
                <w:b w:val="0"/>
                <w:color w:val="000000"/>
                <w:sz w:val="20"/>
              </w:rPr>
              <w:t>coverage filters</w:t>
            </w:r>
          </w:p>
        </w:tc>
        <w:tc>
          <w:tcPr>
            <w:tcW w:type="dxa" w:w="7200"/>
            <w:vAlign w:val="center"/>
            <w:shd w:fill="FFFFFF"/>
          </w:tcPr>
          <w:p>
            <w:pPr>
              <w:spacing w:after="0" w:before="0" w:line="245" w:lineRule="auto"/>
            </w:pPr>
            <w:r>
              <w:rPr>
                <w:b w:val="0"/>
                <w:color w:val="000000"/>
                <w:sz w:val="20"/>
              </w:rPr>
              <w:t>Campaigns, channels, statuses, and whether this is a complete snapshot or a partial selection.</w:t>
            </w:r>
          </w:p>
        </w:tc>
      </w:tr>
      <w:tr>
        <w:trPr>
          <w:cantSplit/>
        </w:trPr>
        <w:tc>
          <w:tcPr>
            <w:tcW w:type="dxa" w:w="2880"/>
            <w:vAlign w:val="center"/>
            <w:shd w:fill="FFFFFF"/>
          </w:tcPr>
          <w:p>
            <w:pPr>
              <w:spacing w:after="0" w:before="0" w:line="245" w:lineRule="auto"/>
            </w:pPr>
            <w:r>
              <w:rPr>
                <w:b w:val="0"/>
                <w:color w:val="000000"/>
                <w:sz w:val="20"/>
              </w:rPr>
              <w:t>profile and schema versions</w:t>
            </w:r>
          </w:p>
        </w:tc>
        <w:tc>
          <w:tcPr>
            <w:tcW w:type="dxa" w:w="7200"/>
            <w:vAlign w:val="center"/>
            <w:shd w:fill="FFFFFF"/>
          </w:tcPr>
          <w:p>
            <w:pPr>
              <w:spacing w:after="0" w:before="0" w:line="245" w:lineRule="auto"/>
            </w:pPr>
            <w:r>
              <w:rPr>
                <w:b w:val="0"/>
                <w:color w:val="000000"/>
                <w:sz w:val="20"/>
              </w:rPr>
              <w:t>Column mapping, date format, amount convention, status mapping, and rules used.</w:t>
            </w:r>
          </w:p>
        </w:tc>
      </w:tr>
    </w:tbl>
    <w:p>
      <w:pPr>
        <w:spacing w:after="20"/>
      </w:pPr>
    </w:p>
    <w:p>
      <w:pPr>
        <w:pStyle w:val="Heading2"/>
      </w:pPr>
      <w:r>
        <w:t>Donation 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168"/>
        <w:gridCol w:w="6912"/>
      </w:tblGrid>
      <w:tr>
        <w:trPr>
          <w:cantSplit/>
          <w:tblHeader/>
        </w:trPr>
        <w:tc>
          <w:tcPr>
            <w:tcW w:type="dxa" w:w="3168"/>
            <w:vAlign w:val="center"/>
            <w:shd w:fill="E9EEF3"/>
          </w:tcPr>
          <w:p>
            <w:pPr>
              <w:spacing w:after="0" w:before="0" w:line="245" w:lineRule="auto"/>
            </w:pPr>
            <w:r>
              <w:rPr>
                <w:b/>
                <w:color w:val="000000"/>
                <w:sz w:val="20"/>
              </w:rPr>
              <w:t>Field</w:t>
            </w:r>
          </w:p>
        </w:tc>
        <w:tc>
          <w:tcPr>
            <w:tcW w:type="dxa" w:w="6912"/>
            <w:vAlign w:val="center"/>
            <w:shd w:fill="E9EEF3"/>
          </w:tcPr>
          <w:p>
            <w:pPr>
              <w:spacing w:after="0" w:before="0" w:line="245" w:lineRule="auto"/>
            </w:pPr>
            <w:r>
              <w:rPr>
                <w:b/>
                <w:color w:val="000000"/>
                <w:sz w:val="20"/>
              </w:rPr>
              <w:t>Rule</w:t>
            </w:r>
          </w:p>
        </w:tc>
      </w:tr>
      <w:tr>
        <w:trPr>
          <w:cantSplit/>
        </w:trPr>
        <w:tc>
          <w:tcPr>
            <w:tcW w:type="dxa" w:w="3168"/>
            <w:vAlign w:val="center"/>
            <w:shd w:fill="FFFFFF"/>
          </w:tcPr>
          <w:p>
            <w:pPr>
              <w:spacing w:after="0" w:before="0" w:line="245" w:lineRule="auto"/>
            </w:pPr>
            <w:r>
              <w:rPr>
                <w:b w:val="0"/>
                <w:color w:val="000000"/>
                <w:sz w:val="20"/>
              </w:rPr>
              <w:t>transaction_id</w:t>
            </w:r>
          </w:p>
        </w:tc>
        <w:tc>
          <w:tcPr>
            <w:tcW w:type="dxa" w:w="6912"/>
            <w:vAlign w:val="center"/>
            <w:shd w:fill="FFFFFF"/>
          </w:tcPr>
          <w:p>
            <w:pPr>
              <w:spacing w:after="0" w:before="0" w:line="245" w:lineRule="auto"/>
            </w:pPr>
            <w:r>
              <w:rPr>
                <w:b w:val="0"/>
                <w:color w:val="000000"/>
                <w:sz w:val="20"/>
              </w:rPr>
              <w:t>Required, stable provider gift ID. Treat as text; preserve leading zeros.</w:t>
            </w:r>
          </w:p>
        </w:tc>
      </w:tr>
      <w:tr>
        <w:trPr>
          <w:cantSplit/>
        </w:trPr>
        <w:tc>
          <w:tcPr>
            <w:tcW w:type="dxa" w:w="3168"/>
            <w:vAlign w:val="center"/>
            <w:shd w:fill="FFFFFF"/>
          </w:tcPr>
          <w:p>
            <w:pPr>
              <w:spacing w:after="0" w:before="0" w:line="245" w:lineRule="auto"/>
            </w:pPr>
            <w:r>
              <w:rPr>
                <w:b w:val="0"/>
                <w:color w:val="000000"/>
                <w:sz w:val="20"/>
              </w:rPr>
              <w:t>gifted_at</w:t>
            </w:r>
          </w:p>
        </w:tc>
        <w:tc>
          <w:tcPr>
            <w:tcW w:type="dxa" w:w="6912"/>
            <w:vAlign w:val="center"/>
            <w:shd w:fill="FFFFFF"/>
          </w:tcPr>
          <w:p>
            <w:pPr>
              <w:spacing w:after="0" w:before="0" w:line="245" w:lineRule="auto"/>
            </w:pPr>
            <w:r>
              <w:rPr>
                <w:b w:val="0"/>
                <w:color w:val="000000"/>
                <w:sz w:val="20"/>
              </w:rPr>
              <w:t>Required date or timestamp, interpreted using the profile timezone.</w:t>
            </w:r>
          </w:p>
        </w:tc>
      </w:tr>
      <w:tr>
        <w:trPr>
          <w:cantSplit/>
        </w:trPr>
        <w:tc>
          <w:tcPr>
            <w:tcW w:type="dxa" w:w="3168"/>
            <w:vAlign w:val="center"/>
            <w:shd w:fill="FFFFFF"/>
          </w:tcPr>
          <w:p>
            <w:pPr>
              <w:spacing w:after="0" w:before="0" w:line="245" w:lineRule="auto"/>
            </w:pPr>
            <w:r>
              <w:rPr>
                <w:b w:val="0"/>
                <w:color w:val="000000"/>
                <w:sz w:val="20"/>
              </w:rPr>
              <w:t>gross_amount and currency</w:t>
            </w:r>
          </w:p>
        </w:tc>
        <w:tc>
          <w:tcPr>
            <w:tcW w:type="dxa" w:w="6912"/>
            <w:vAlign w:val="center"/>
            <w:shd w:fill="FFFFFF"/>
          </w:tcPr>
          <w:p>
            <w:pPr>
              <w:spacing w:after="0" w:before="0" w:line="245" w:lineRule="auto"/>
            </w:pPr>
            <w:r>
              <w:rPr>
                <w:b w:val="0"/>
                <w:color w:val="000000"/>
                <w:sz w:val="20"/>
              </w:rPr>
              <w:t>Required positive original gift amount and GBP. Never substitute net payout.</w:t>
            </w:r>
          </w:p>
        </w:tc>
      </w:tr>
      <w:tr>
        <w:trPr>
          <w:cantSplit/>
        </w:trPr>
        <w:tc>
          <w:tcPr>
            <w:tcW w:type="dxa" w:w="3168"/>
            <w:vAlign w:val="center"/>
            <w:shd w:fill="FFFFFF"/>
          </w:tcPr>
          <w:p>
            <w:pPr>
              <w:spacing w:after="0" w:before="0" w:line="245" w:lineRule="auto"/>
            </w:pPr>
            <w:r>
              <w:rPr>
                <w:b w:val="0"/>
                <w:color w:val="000000"/>
                <w:sz w:val="20"/>
              </w:rPr>
              <w:t>status</w:t>
            </w:r>
          </w:p>
        </w:tc>
        <w:tc>
          <w:tcPr>
            <w:tcW w:type="dxa" w:w="6912"/>
            <w:vAlign w:val="center"/>
            <w:shd w:fill="FFFFFF"/>
          </w:tcPr>
          <w:p>
            <w:pPr>
              <w:spacing w:after="0" w:before="0" w:line="245" w:lineRule="auto"/>
            </w:pPr>
            <w:r>
              <w:rPr>
                <w:b w:val="0"/>
                <w:color w:val="000000"/>
                <w:sz w:val="20"/>
              </w:rPr>
              <w:t>pending, paid, partially_refunded, refunded, or reversed after explicit mapping.</w:t>
            </w:r>
          </w:p>
        </w:tc>
      </w:tr>
      <w:tr>
        <w:trPr>
          <w:cantSplit/>
        </w:trPr>
        <w:tc>
          <w:tcPr>
            <w:tcW w:type="dxa" w:w="3168"/>
            <w:vAlign w:val="center"/>
            <w:shd w:fill="FFFFFF"/>
          </w:tcPr>
          <w:p>
            <w:pPr>
              <w:spacing w:after="0" w:before="0" w:line="245" w:lineRule="auto"/>
            </w:pPr>
            <w:r>
              <w:rPr>
                <w:b w:val="0"/>
                <w:color w:val="000000"/>
                <w:sz w:val="20"/>
              </w:rPr>
              <w:t>refunded_amount</w:t>
            </w:r>
          </w:p>
        </w:tc>
        <w:tc>
          <w:tcPr>
            <w:tcW w:type="dxa" w:w="6912"/>
            <w:vAlign w:val="center"/>
            <w:shd w:fill="FFFFFF"/>
          </w:tcPr>
          <w:p>
            <w:pPr>
              <w:spacing w:after="0" w:before="0" w:line="245" w:lineRule="auto"/>
            </w:pPr>
            <w:r>
              <w:rPr>
                <w:b w:val="0"/>
                <w:color w:val="000000"/>
                <w:sz w:val="20"/>
              </w:rPr>
              <w:t>Required cumulative amount returned; zero if none. Between zero and gross.</w:t>
            </w:r>
          </w:p>
        </w:tc>
      </w:tr>
      <w:tr>
        <w:trPr>
          <w:cantSplit/>
        </w:trPr>
        <w:tc>
          <w:tcPr>
            <w:tcW w:type="dxa" w:w="3168"/>
            <w:vAlign w:val="center"/>
            <w:shd w:fill="FFFFFF"/>
          </w:tcPr>
          <w:p>
            <w:pPr>
              <w:spacing w:after="0" w:before="0" w:line="245" w:lineRule="auto"/>
            </w:pPr>
            <w:r>
              <w:rPr>
                <w:b w:val="0"/>
                <w:color w:val="000000"/>
                <w:sz w:val="20"/>
              </w:rPr>
              <w:t>campaign_code</w:t>
            </w:r>
          </w:p>
        </w:tc>
        <w:tc>
          <w:tcPr>
            <w:tcW w:type="dxa" w:w="6912"/>
            <w:vAlign w:val="center"/>
            <w:shd w:fill="FFFFFF"/>
          </w:tcPr>
          <w:p>
            <w:pPr>
              <w:spacing w:after="0" w:before="0" w:line="245" w:lineRule="auto"/>
            </w:pPr>
            <w:r>
              <w:rPr>
                <w:b w:val="0"/>
                <w:color w:val="000000"/>
                <w:sz w:val="20"/>
              </w:rPr>
              <w:t>Required source code or explicit UNRESTRICTED value; unknown codes need mapping.</w:t>
            </w:r>
          </w:p>
        </w:tc>
      </w:tr>
      <w:tr>
        <w:trPr>
          <w:cantSplit/>
        </w:trPr>
        <w:tc>
          <w:tcPr>
            <w:tcW w:type="dxa" w:w="3168"/>
            <w:vAlign w:val="center"/>
            <w:shd w:fill="FFFFFF"/>
          </w:tcPr>
          <w:p>
            <w:pPr>
              <w:spacing w:after="0" w:before="0" w:line="245" w:lineRule="auto"/>
            </w:pPr>
            <w:r>
              <w:rPr>
                <w:b w:val="0"/>
                <w:color w:val="000000"/>
                <w:sz w:val="20"/>
              </w:rPr>
              <w:t>donor_ref and donor_email</w:t>
            </w:r>
          </w:p>
        </w:tc>
        <w:tc>
          <w:tcPr>
            <w:tcW w:type="dxa" w:w="6912"/>
            <w:vAlign w:val="center"/>
            <w:shd w:fill="FFFFFF"/>
          </w:tcPr>
          <w:p>
            <w:pPr>
              <w:spacing w:after="0" w:before="0" w:line="245" w:lineRule="auto"/>
            </w:pPr>
            <w:r>
              <w:rPr>
                <w:b w:val="0"/>
                <w:color w:val="000000"/>
                <w:sz w:val="20"/>
              </w:rPr>
              <w:t>Optional supporting evidence. Absence and anonymity are valid.</w:t>
            </w:r>
          </w:p>
        </w:tc>
      </w:tr>
      <w:tr>
        <w:trPr>
          <w:cantSplit/>
        </w:trPr>
        <w:tc>
          <w:tcPr>
            <w:tcW w:type="dxa" w:w="3168"/>
            <w:vAlign w:val="center"/>
            <w:shd w:fill="FFFFFF"/>
          </w:tcPr>
          <w:p>
            <w:pPr>
              <w:spacing w:after="0" w:before="0" w:line="245" w:lineRule="auto"/>
            </w:pPr>
            <w:r>
              <w:rPr>
                <w:b w:val="0"/>
                <w:color w:val="000000"/>
                <w:sz w:val="20"/>
              </w:rPr>
              <w:t>anonymous</w:t>
            </w:r>
          </w:p>
        </w:tc>
        <w:tc>
          <w:tcPr>
            <w:tcW w:type="dxa" w:w="6912"/>
            <w:vAlign w:val="center"/>
            <w:shd w:fill="FFFFFF"/>
          </w:tcPr>
          <w:p>
            <w:pPr>
              <w:spacing w:after="0" w:before="0" w:line="245" w:lineRule="auto"/>
            </w:pPr>
            <w:r>
              <w:rPr>
                <w:b w:val="0"/>
                <w:color w:val="000000"/>
                <w:sz w:val="20"/>
              </w:rPr>
              <w:t>Required boolean in the demo profile. Do not infer identity or contact permission.</w:t>
            </w:r>
          </w:p>
        </w:tc>
      </w:tr>
      <w:tr>
        <w:trPr>
          <w:cantSplit/>
        </w:trPr>
        <w:tc>
          <w:tcPr>
            <w:tcW w:type="dxa" w:w="3168"/>
            <w:vAlign w:val="center"/>
            <w:shd w:fill="FFFFFF"/>
          </w:tcPr>
          <w:p>
            <w:pPr>
              <w:spacing w:after="0" w:before="0" w:line="245" w:lineRule="auto"/>
            </w:pPr>
            <w:r>
              <w:rPr>
                <w:b w:val="0"/>
                <w:color w:val="000000"/>
                <w:sz w:val="20"/>
              </w:rPr>
              <w:t>source_updated_at</w:t>
            </w:r>
          </w:p>
        </w:tc>
        <w:tc>
          <w:tcPr>
            <w:tcW w:type="dxa" w:w="6912"/>
            <w:vAlign w:val="center"/>
            <w:shd w:fill="FFFFFF"/>
          </w:tcPr>
          <w:p>
            <w:pPr>
              <w:spacing w:after="0" w:before="0" w:line="245" w:lineRule="auto"/>
            </w:pPr>
            <w:r>
              <w:rPr>
                <w:b w:val="0"/>
                <w:color w:val="000000"/>
                <w:sz w:val="20"/>
              </w:rPr>
              <w:t>Optional provider revision timestamp; use report generated_at if absent.</w:t>
            </w:r>
          </w:p>
        </w:tc>
      </w:tr>
    </w:tbl>
    <w:p>
      <w:pPr>
        <w:spacing w:after="20"/>
      </w:pPr>
    </w:p>
    <w:p>
      <w:r>
        <w:t>Store money as integer minor units and a currency code. Parse decimal strings without floating point arithmetic. Display GBP with two decimals. Reject ambiguous decimal or date formats until the mapping is explicit. Keep source text alongside normalized values; transformations must be inspectable.</w:t>
      </w:r>
    </w:p>
    <w:p>
      <w:r>
        <w:t>The logical gift key is organization + provider + account + transaction_id. Derive a stable opaque external_gift_key from an unambiguous encoding of those values. Workspace ownership scopes storage but is not part of the portable gift identity.</w:t>
      </w:r>
    </w:p>
    <w:p>
      <w:r>
        <w:br w:type="page"/>
      </w:r>
    </w:p>
    <w:p>
      <w:pPr>
        <w:pStyle w:val="Heading1"/>
      </w:pPr>
      <w:r>
        <w:t>4 Payout and CRM contracts</w:t>
      </w:r>
    </w:p>
    <w:p>
      <w:pPr>
        <w:pStyle w:val="Heading2"/>
      </w:pPr>
      <w:r>
        <w:t>Payout CSV</w:t>
      </w:r>
    </w:p>
    <w:p>
      <w:r>
        <w:t>The demo payout file contains one settlement component per row. A payout can contain many gifts, and one gift can have components in several payouts. Do not model a payout as a single property on a gift.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40"/>
        <w:gridCol w:w="6840"/>
      </w:tblGrid>
      <w:tr>
        <w:trPr>
          <w:cantSplit/>
          <w:tblHeader/>
        </w:trPr>
        <w:tc>
          <w:tcPr>
            <w:tcW w:type="dxa" w:w="3240"/>
            <w:vAlign w:val="center"/>
            <w:shd w:fill="E9EEF3"/>
          </w:tcPr>
          <w:p>
            <w:pPr>
              <w:spacing w:after="0" w:before="0" w:line="245" w:lineRule="auto"/>
            </w:pPr>
            <w:r>
              <w:rPr>
                <w:b/>
                <w:color w:val="000000"/>
                <w:sz w:val="20"/>
              </w:rPr>
              <w:t>Field</w:t>
            </w:r>
          </w:p>
        </w:tc>
        <w:tc>
          <w:tcPr>
            <w:tcW w:type="dxa" w:w="6840"/>
            <w:vAlign w:val="center"/>
            <w:shd w:fill="E9EEF3"/>
          </w:tcPr>
          <w:p>
            <w:pPr>
              <w:spacing w:after="0" w:before="0" w:line="245" w:lineRule="auto"/>
            </w:pPr>
            <w:r>
              <w:rPr>
                <w:b/>
                <w:color w:val="000000"/>
                <w:sz w:val="20"/>
              </w:rPr>
              <w:t>Rule</w:t>
            </w:r>
          </w:p>
        </w:tc>
      </w:tr>
      <w:tr>
        <w:trPr>
          <w:cantSplit/>
        </w:trPr>
        <w:tc>
          <w:tcPr>
            <w:tcW w:type="dxa" w:w="3240"/>
            <w:vAlign w:val="center"/>
            <w:shd w:fill="FFFFFF"/>
          </w:tcPr>
          <w:p>
            <w:pPr>
              <w:spacing w:after="0" w:before="0" w:line="245" w:lineRule="auto"/>
            </w:pPr>
            <w:r>
              <w:rPr>
                <w:b w:val="0"/>
                <w:color w:val="000000"/>
                <w:sz w:val="20"/>
              </w:rPr>
              <w:t>component_id and payout_id</w:t>
            </w:r>
          </w:p>
        </w:tc>
        <w:tc>
          <w:tcPr>
            <w:tcW w:type="dxa" w:w="6840"/>
            <w:vAlign w:val="center"/>
            <w:shd w:fill="FFFFFF"/>
          </w:tcPr>
          <w:p>
            <w:pPr>
              <w:spacing w:after="0" w:before="0" w:line="245" w:lineRule="auto"/>
            </w:pPr>
            <w:r>
              <w:rPr>
                <w:b w:val="0"/>
                <w:color w:val="000000"/>
                <w:sz w:val="20"/>
              </w:rPr>
              <w:t>Required stable text identifiers within provider and account.</w:t>
            </w:r>
          </w:p>
        </w:tc>
      </w:tr>
      <w:tr>
        <w:trPr>
          <w:cantSplit/>
        </w:trPr>
        <w:tc>
          <w:tcPr>
            <w:tcW w:type="dxa" w:w="3240"/>
            <w:vAlign w:val="center"/>
            <w:shd w:fill="FFFFFF"/>
          </w:tcPr>
          <w:p>
            <w:pPr>
              <w:spacing w:after="0" w:before="0" w:line="245" w:lineRule="auto"/>
            </w:pPr>
            <w:r>
              <w:rPr>
                <w:b w:val="0"/>
                <w:color w:val="000000"/>
                <w:sz w:val="20"/>
              </w:rPr>
              <w:t>component_type</w:t>
            </w:r>
          </w:p>
        </w:tc>
        <w:tc>
          <w:tcPr>
            <w:tcW w:type="dxa" w:w="6840"/>
            <w:vAlign w:val="center"/>
            <w:shd w:fill="FFFFFF"/>
          </w:tcPr>
          <w:p>
            <w:pPr>
              <w:spacing w:after="0" w:before="0" w:line="245" w:lineRule="auto"/>
            </w:pPr>
            <w:r>
              <w:rPr>
                <w:b w:val="0"/>
                <w:color w:val="000000"/>
                <w:sz w:val="20"/>
              </w:rPr>
              <w:t>gift_credit, fee, refund_debit, reversal_debit, adjustment_credit, or adjustment_debit.</w:t>
            </w:r>
          </w:p>
        </w:tc>
      </w:tr>
      <w:tr>
        <w:trPr>
          <w:cantSplit/>
        </w:trPr>
        <w:tc>
          <w:tcPr>
            <w:tcW w:type="dxa" w:w="3240"/>
            <w:vAlign w:val="center"/>
            <w:shd w:fill="FFFFFF"/>
          </w:tcPr>
          <w:p>
            <w:pPr>
              <w:spacing w:after="0" w:before="0" w:line="245" w:lineRule="auto"/>
            </w:pPr>
            <w:r>
              <w:rPr>
                <w:b w:val="0"/>
                <w:color w:val="000000"/>
                <w:sz w:val="20"/>
              </w:rPr>
              <w:t>amount_signed and currency</w:t>
            </w:r>
          </w:p>
        </w:tc>
        <w:tc>
          <w:tcPr>
            <w:tcW w:type="dxa" w:w="6840"/>
            <w:vAlign w:val="center"/>
            <w:shd w:fill="FFFFFF"/>
          </w:tcPr>
          <w:p>
            <w:pPr>
              <w:spacing w:after="0" w:before="0" w:line="245" w:lineRule="auto"/>
            </w:pPr>
            <w:r>
              <w:rPr>
                <w:b w:val="0"/>
                <w:color w:val="000000"/>
                <w:sz w:val="20"/>
              </w:rPr>
              <w:t>Required signed decimal amount and GBP. Credits positive; debits negative.</w:t>
            </w:r>
          </w:p>
        </w:tc>
      </w:tr>
      <w:tr>
        <w:trPr>
          <w:cantSplit/>
        </w:trPr>
        <w:tc>
          <w:tcPr>
            <w:tcW w:type="dxa" w:w="3240"/>
            <w:vAlign w:val="center"/>
            <w:shd w:fill="FFFFFF"/>
          </w:tcPr>
          <w:p>
            <w:pPr>
              <w:spacing w:after="0" w:before="0" w:line="245" w:lineRule="auto"/>
            </w:pPr>
            <w:r>
              <w:rPr>
                <w:b w:val="0"/>
                <w:color w:val="000000"/>
                <w:sz w:val="20"/>
              </w:rPr>
              <w:t>transaction_id</w:t>
            </w:r>
          </w:p>
        </w:tc>
        <w:tc>
          <w:tcPr>
            <w:tcW w:type="dxa" w:w="6840"/>
            <w:vAlign w:val="center"/>
            <w:shd w:fill="FFFFFF"/>
          </w:tcPr>
          <w:p>
            <w:pPr>
              <w:spacing w:after="0" w:before="0" w:line="245" w:lineRule="auto"/>
            </w:pPr>
            <w:r>
              <w:rPr>
                <w:b w:val="0"/>
                <w:color w:val="000000"/>
                <w:sz w:val="20"/>
              </w:rPr>
              <w:t>Required for gift credits, refunds, and reversals; optional for payout-level fees and adjustments.</w:t>
            </w:r>
          </w:p>
        </w:tc>
      </w:tr>
      <w:tr>
        <w:trPr>
          <w:cantSplit/>
        </w:trPr>
        <w:tc>
          <w:tcPr>
            <w:tcW w:type="dxa" w:w="3240"/>
            <w:vAlign w:val="center"/>
            <w:shd w:fill="FFFFFF"/>
          </w:tcPr>
          <w:p>
            <w:pPr>
              <w:spacing w:after="0" w:before="0" w:line="245" w:lineRule="auto"/>
            </w:pPr>
            <w:r>
              <w:rPr>
                <w:b w:val="0"/>
                <w:color w:val="000000"/>
                <w:sz w:val="20"/>
              </w:rPr>
              <w:t>reported_net_amount</w:t>
            </w:r>
          </w:p>
        </w:tc>
        <w:tc>
          <w:tcPr>
            <w:tcW w:type="dxa" w:w="6840"/>
            <w:vAlign w:val="center"/>
            <w:shd w:fill="FFFFFF"/>
          </w:tcPr>
          <w:p>
            <w:pPr>
              <w:spacing w:after="0" w:before="0" w:line="245" w:lineRule="auto"/>
            </w:pPr>
            <w:r>
              <w:rPr>
                <w:b w:val="0"/>
                <w:color w:val="000000"/>
                <w:sz w:val="20"/>
              </w:rPr>
              <w:t>Required payout total, repeated consistently for all rows of that payout.</w:t>
            </w:r>
          </w:p>
        </w:tc>
      </w:tr>
      <w:tr>
        <w:trPr>
          <w:cantSplit/>
        </w:trPr>
        <w:tc>
          <w:tcPr>
            <w:tcW w:type="dxa" w:w="3240"/>
            <w:vAlign w:val="center"/>
            <w:shd w:fill="FFFFFF"/>
          </w:tcPr>
          <w:p>
            <w:pPr>
              <w:spacing w:after="0" w:before="0" w:line="245" w:lineRule="auto"/>
            </w:pPr>
            <w:r>
              <w:rPr>
                <w:b w:val="0"/>
                <w:color w:val="000000"/>
                <w:sz w:val="20"/>
              </w:rPr>
              <w:t>expected_item_count</w:t>
            </w:r>
          </w:p>
        </w:tc>
        <w:tc>
          <w:tcPr>
            <w:tcW w:type="dxa" w:w="6840"/>
            <w:vAlign w:val="center"/>
            <w:shd w:fill="FFFFFF"/>
          </w:tcPr>
          <w:p>
            <w:pPr>
              <w:spacing w:after="0" w:before="0" w:line="245" w:lineRule="auto"/>
            </w:pPr>
            <w:r>
              <w:rPr>
                <w:b w:val="0"/>
                <w:color w:val="000000"/>
                <w:sz w:val="20"/>
              </w:rPr>
              <w:t>Required number of unique components in the complete payout, repeated consistently.</w:t>
            </w:r>
          </w:p>
        </w:tc>
      </w:tr>
      <w:tr>
        <w:trPr>
          <w:cantSplit/>
        </w:trPr>
        <w:tc>
          <w:tcPr>
            <w:tcW w:type="dxa" w:w="3240"/>
            <w:vAlign w:val="center"/>
            <w:shd w:fill="FFFFFF"/>
          </w:tcPr>
          <w:p>
            <w:pPr>
              <w:spacing w:after="0" w:before="0" w:line="245" w:lineRule="auto"/>
            </w:pPr>
            <w:r>
              <w:rPr>
                <w:b w:val="0"/>
                <w:color w:val="000000"/>
                <w:sz w:val="20"/>
              </w:rPr>
              <w:t>payout_status and payout_date</w:t>
            </w:r>
          </w:p>
        </w:tc>
        <w:tc>
          <w:tcPr>
            <w:tcW w:type="dxa" w:w="6840"/>
            <w:vAlign w:val="center"/>
            <w:shd w:fill="FFFFFF"/>
          </w:tcPr>
          <w:p>
            <w:pPr>
              <w:spacing w:after="0" w:before="0" w:line="245" w:lineRule="auto"/>
            </w:pPr>
            <w:r>
              <w:rPr>
                <w:b w:val="0"/>
                <w:color w:val="000000"/>
                <w:sz w:val="20"/>
              </w:rPr>
              <w:t>pending, sent, or cancelled; date required when sent.</w:t>
            </w:r>
          </w:p>
        </w:tc>
      </w:tr>
      <w:tr>
        <w:trPr>
          <w:cantSplit/>
        </w:trPr>
        <w:tc>
          <w:tcPr>
            <w:tcW w:type="dxa" w:w="3240"/>
            <w:vAlign w:val="center"/>
            <w:shd w:fill="FFFFFF"/>
          </w:tcPr>
          <w:p>
            <w:pPr>
              <w:spacing w:after="0" w:before="0" w:line="245" w:lineRule="auto"/>
            </w:pPr>
            <w:r>
              <w:rPr>
                <w:b w:val="0"/>
                <w:color w:val="000000"/>
                <w:sz w:val="20"/>
              </w:rPr>
              <w:t>source_updated_at</w:t>
            </w:r>
          </w:p>
        </w:tc>
        <w:tc>
          <w:tcPr>
            <w:tcW w:type="dxa" w:w="6840"/>
            <w:vAlign w:val="center"/>
            <w:shd w:fill="FFFFFF"/>
          </w:tcPr>
          <w:p>
            <w:pPr>
              <w:spacing w:after="0" w:before="0" w:line="245" w:lineRule="auto"/>
            </w:pPr>
            <w:r>
              <w:rPr>
                <w:b w:val="0"/>
                <w:color w:val="000000"/>
                <w:sz w:val="20"/>
              </w:rPr>
              <w:t>Optional revision time; otherwise use report generated_at.</w:t>
            </w:r>
          </w:p>
        </w:tc>
      </w:tr>
    </w:tbl>
    <w:p>
      <w:pPr>
        <w:spacing w:after="20"/>
      </w:pPr>
    </w:p>
    <w:p>
      <w:r>
        <w:t>The count and total are source assertions in the demo contract. If a real report lacks a completeness signal, its adapter must expose that limitation rather than invent a complete payout. Unknown adjustment types are retained and held. Fees never reduce the CRM gross gift.</w:t>
      </w:r>
    </w:p>
    <w:p>
      <w:pPr>
        <w:pStyle w:val="Heading2"/>
      </w:pPr>
      <w:r>
        <w:t>CRM snapshot 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44"/>
        <w:gridCol w:w="6336"/>
      </w:tblGrid>
      <w:tr>
        <w:trPr>
          <w:cantSplit/>
          <w:tblHeader/>
        </w:trPr>
        <w:tc>
          <w:tcPr>
            <w:tcW w:type="dxa" w:w="3744"/>
            <w:vAlign w:val="center"/>
            <w:shd w:fill="E9EEF3"/>
          </w:tcPr>
          <w:p>
            <w:pPr>
              <w:spacing w:after="0" w:before="0" w:line="245" w:lineRule="auto"/>
            </w:pPr>
            <w:r>
              <w:rPr>
                <w:b/>
                <w:color w:val="000000"/>
                <w:sz w:val="20"/>
              </w:rPr>
              <w:t>Field</w:t>
            </w:r>
          </w:p>
        </w:tc>
        <w:tc>
          <w:tcPr>
            <w:tcW w:type="dxa" w:w="6336"/>
            <w:vAlign w:val="center"/>
            <w:shd w:fill="E9EEF3"/>
          </w:tcPr>
          <w:p>
            <w:pPr>
              <w:spacing w:after="0" w:before="0" w:line="245" w:lineRule="auto"/>
            </w:pPr>
            <w:r>
              <w:rPr>
                <w:b/>
                <w:color w:val="000000"/>
                <w:sz w:val="20"/>
              </w:rPr>
              <w:t>Rule</w:t>
            </w:r>
          </w:p>
        </w:tc>
      </w:tr>
      <w:tr>
        <w:trPr>
          <w:cantSplit/>
        </w:trPr>
        <w:tc>
          <w:tcPr>
            <w:tcW w:type="dxa" w:w="3744"/>
            <w:vAlign w:val="center"/>
            <w:shd w:fill="FFFFFF"/>
          </w:tcPr>
          <w:p>
            <w:pPr>
              <w:spacing w:after="0" w:before="0" w:line="245" w:lineRule="auto"/>
            </w:pPr>
            <w:r>
              <w:rPr>
                <w:b w:val="0"/>
                <w:color w:val="000000"/>
                <w:sz w:val="20"/>
              </w:rPr>
              <w:t>crm_record_id</w:t>
            </w:r>
          </w:p>
        </w:tc>
        <w:tc>
          <w:tcPr>
            <w:tcW w:type="dxa" w:w="6336"/>
            <w:vAlign w:val="center"/>
            <w:shd w:fill="FFFFFF"/>
          </w:tcPr>
          <w:p>
            <w:pPr>
              <w:spacing w:after="0" w:before="0" w:line="245" w:lineRule="auto"/>
            </w:pPr>
            <w:r>
              <w:rPr>
                <w:b w:val="0"/>
                <w:color w:val="000000"/>
                <w:sz w:val="20"/>
              </w:rPr>
              <w:t>Required unique record ID for destination updates.</w:t>
            </w:r>
          </w:p>
        </w:tc>
      </w:tr>
      <w:tr>
        <w:trPr>
          <w:cantSplit/>
        </w:trPr>
        <w:tc>
          <w:tcPr>
            <w:tcW w:type="dxa" w:w="3744"/>
            <w:vAlign w:val="center"/>
            <w:shd w:fill="FFFFFF"/>
          </w:tcPr>
          <w:p>
            <w:pPr>
              <w:spacing w:after="0" w:before="0" w:line="245" w:lineRule="auto"/>
            </w:pPr>
            <w:r>
              <w:rPr>
                <w:b w:val="0"/>
                <w:color w:val="000000"/>
                <w:sz w:val="20"/>
              </w:rPr>
              <w:t>external_gift_key</w:t>
            </w:r>
          </w:p>
        </w:tc>
        <w:tc>
          <w:tcPr>
            <w:tcW w:type="dxa" w:w="6336"/>
            <w:vAlign w:val="center"/>
            <w:shd w:fill="FFFFFF"/>
          </w:tcPr>
          <w:p>
            <w:pPr>
              <w:spacing w:after="0" w:before="0" w:line="245" w:lineRule="auto"/>
            </w:pPr>
            <w:r>
              <w:rPr>
                <w:b w:val="0"/>
                <w:color w:val="000000"/>
                <w:sz w:val="20"/>
              </w:rPr>
              <w:t>Preferred matching key; blank is allowed for legacy records.</w:t>
            </w:r>
          </w:p>
        </w:tc>
      </w:tr>
      <w:tr>
        <w:trPr>
          <w:cantSplit/>
        </w:trPr>
        <w:tc>
          <w:tcPr>
            <w:tcW w:type="dxa" w:w="3744"/>
            <w:vAlign w:val="center"/>
            <w:shd w:fill="FFFFFF"/>
          </w:tcPr>
          <w:p>
            <w:pPr>
              <w:spacing w:after="0" w:before="0" w:line="245" w:lineRule="auto"/>
            </w:pPr>
            <w:r>
              <w:rPr>
                <w:b w:val="0"/>
                <w:color w:val="000000"/>
                <w:sz w:val="20"/>
              </w:rPr>
              <w:t>provider_transaction_id</w:t>
            </w:r>
          </w:p>
        </w:tc>
        <w:tc>
          <w:tcPr>
            <w:tcW w:type="dxa" w:w="6336"/>
            <w:vAlign w:val="center"/>
            <w:shd w:fill="FFFFFF"/>
          </w:tcPr>
          <w:p>
            <w:pPr>
              <w:spacing w:after="0" w:before="0" w:line="245" w:lineRule="auto"/>
            </w:pPr>
            <w:r>
              <w:rPr>
                <w:b w:val="0"/>
                <w:color w:val="000000"/>
                <w:sz w:val="20"/>
              </w:rPr>
              <w:t>Optional legacy reference; usable only with a known provider/account namespace.</w:t>
            </w:r>
          </w:p>
        </w:tc>
      </w:tr>
      <w:tr>
        <w:trPr>
          <w:cantSplit/>
        </w:trPr>
        <w:tc>
          <w:tcPr>
            <w:tcW w:type="dxa" w:w="3744"/>
            <w:vAlign w:val="center"/>
            <w:shd w:fill="FFFFFF"/>
          </w:tcPr>
          <w:p>
            <w:pPr>
              <w:spacing w:after="0" w:before="0" w:line="245" w:lineRule="auto"/>
            </w:pPr>
            <w:r>
              <w:rPr>
                <w:b w:val="0"/>
                <w:color w:val="000000"/>
                <w:sz w:val="20"/>
              </w:rPr>
              <w:t>gross_amount, refunded_amount, currency</w:t>
            </w:r>
          </w:p>
        </w:tc>
        <w:tc>
          <w:tcPr>
            <w:tcW w:type="dxa" w:w="6336"/>
            <w:vAlign w:val="center"/>
            <w:shd w:fill="FFFFFF"/>
          </w:tcPr>
          <w:p>
            <w:pPr>
              <w:spacing w:after="0" w:before="0" w:line="245" w:lineRule="auto"/>
            </w:pPr>
            <w:r>
              <w:rPr>
                <w:b w:val="0"/>
                <w:color w:val="000000"/>
                <w:sz w:val="20"/>
              </w:rPr>
              <w:t>Required current CRM values using the same money conventions.</w:t>
            </w:r>
          </w:p>
        </w:tc>
      </w:tr>
      <w:tr>
        <w:trPr>
          <w:cantSplit/>
        </w:trPr>
        <w:tc>
          <w:tcPr>
            <w:tcW w:type="dxa" w:w="3744"/>
            <w:vAlign w:val="center"/>
            <w:shd w:fill="FFFFFF"/>
          </w:tcPr>
          <w:p>
            <w:pPr>
              <w:spacing w:after="0" w:before="0" w:line="245" w:lineRule="auto"/>
            </w:pPr>
            <w:r>
              <w:rPr>
                <w:b w:val="0"/>
                <w:color w:val="000000"/>
                <w:sz w:val="20"/>
              </w:rPr>
              <w:t>gifted_at, gift_status, campaign_id</w:t>
            </w:r>
          </w:p>
        </w:tc>
        <w:tc>
          <w:tcPr>
            <w:tcW w:type="dxa" w:w="6336"/>
            <w:vAlign w:val="center"/>
            <w:shd w:fill="FFFFFF"/>
          </w:tcPr>
          <w:p>
            <w:pPr>
              <w:spacing w:after="0" w:before="0" w:line="245" w:lineRule="auto"/>
            </w:pPr>
            <w:r>
              <w:rPr>
                <w:b w:val="0"/>
                <w:color w:val="000000"/>
                <w:sz w:val="20"/>
              </w:rPr>
              <w:t>Required comparison fields, using a versioned destination profile.</w:t>
            </w:r>
          </w:p>
        </w:tc>
      </w:tr>
      <w:tr>
        <w:trPr>
          <w:cantSplit/>
        </w:trPr>
        <w:tc>
          <w:tcPr>
            <w:tcW w:type="dxa" w:w="3744"/>
            <w:vAlign w:val="center"/>
            <w:shd w:fill="FFFFFF"/>
          </w:tcPr>
          <w:p>
            <w:pPr>
              <w:spacing w:after="0" w:before="0" w:line="245" w:lineRule="auto"/>
            </w:pPr>
            <w:r>
              <w:rPr>
                <w:b w:val="0"/>
                <w:color w:val="000000"/>
                <w:sz w:val="20"/>
              </w:rPr>
              <w:t>donor_ref and donor_email</w:t>
            </w:r>
          </w:p>
        </w:tc>
        <w:tc>
          <w:tcPr>
            <w:tcW w:type="dxa" w:w="6336"/>
            <w:vAlign w:val="center"/>
            <w:shd w:fill="FFFFFF"/>
          </w:tcPr>
          <w:p>
            <w:pPr>
              <w:spacing w:after="0" w:before="0" w:line="245" w:lineRule="auto"/>
            </w:pPr>
            <w:r>
              <w:rPr>
                <w:b w:val="0"/>
                <w:color w:val="000000"/>
                <w:sz w:val="20"/>
              </w:rPr>
              <w:t>Optional evidence for candidate suggestions; no automatic donor merge.</w:t>
            </w:r>
          </w:p>
        </w:tc>
      </w:tr>
    </w:tbl>
    <w:p>
      <w:pPr>
        <w:spacing w:after="20"/>
      </w:pPr>
    </w:p>
    <w:p>
      <w:r>
        <w:t>Select one CRM snapshot per run; replace the baseline rather than unioning old snapshots. Its declared scope must cover each proposed create, and its generated_at must be at least the latest included source event or revision time. Otherwise flag it as stale for that action. Fixture time is fixed by the manifest. Display “Absent from this CRM snapshot”, never an unqualified claim that a gift is missing from the live CRM.</w:t>
      </w:r>
    </w:p>
    <w:p>
      <w:r>
        <w:br w:type="page"/>
      </w:r>
    </w:p>
    <w:p>
      <w:pPr>
        <w:pStyle w:val="Heading1"/>
      </w:pPr>
      <w:r>
        <w:t>5 Import processing and repeatability</w:t>
      </w:r>
    </w:p>
    <w:p>
      <w:pPr>
        <w:pStyle w:val="Heading2"/>
      </w:pPr>
      <w:r>
        <w:t>Validate before reconciliation</w:t>
      </w:r>
    </w:p>
    <w:p>
      <w:r>
        <w:t>IMP01 Accept CSV only, with UTF-8 or UTF-8 BOM and comma, semicolon, or tab delimiters. Allow an explicit Windows-1252 profile in local mode. Respect quoted delimiters and embedded newlines. Reject malformed quoting, duplicate headers, unsupported encoding, and inconsistent column counts.</w:t>
      </w:r>
    </w:p>
    <w:p>
      <w:r>
        <w:t>IMP02 Fingerprint the header schema. A saved profile can tolerate extra columns only after showing them as unmapped. Missing required fields, changed meanings, or unknown status values require mapping review. Never map a changed field silently by column position.</w:t>
      </w:r>
    </w:p>
    <w:p>
      <w:r>
        <w:t>IMP03 Stage each upload before making it active. Store its checksum, context, raw rows, source row numbers, mapping version, validation findings, and timestamps. Invalid rows remain visible and count toward report completeness. They cannot enter matching, payout balancing, or exports.</w:t>
      </w:r>
    </w:p>
    <w:p>
      <w:r>
        <w:t>IMP04 Preserve originals. Corrections happen through a new mapping, a new file, or a recorded decision; users cannot overwrite raw evidence. If storage or parsing fails, leave a failed import with a safe retry action and no partially activated dataset.</w:t>
      </w:r>
    </w:p>
    <w:p>
      <w:pPr>
        <w:pStyle w:val="Heading2"/>
      </w:pPr>
      <w:r>
        <w:t>Handle repeat imports and updates</w:t>
      </w:r>
    </w:p>
    <w:p>
      <w:r>
        <w:t>IMP05 An identical file checksum and identical context returns the existing import. Identical canonical rows with the same logical identity and version are counted once, while every source occurrence remains traceable. Report skipped duplicate counts explicitly.</w:t>
      </w:r>
    </w:p>
    <w:p>
      <w:r>
        <w:t>IMP06 A later provider revision creates a new immutable record version. A stale revision cannot replace a newer one. Different values at the same revision time create a conflict that blocks that logical record. Upload order must not determine the winner.</w:t>
      </w:r>
    </w:p>
    <w:p>
      <w:r>
        <w:t>IMP07 Use source_updated_at when available, otherwise generated_at with the report profile’s stated limitations. Never use the upload timestamp to infer a provider change. Preserve partial refund and reversal events as settlement components, not duplicate gifts.</w:t>
      </w:r>
    </w:p>
    <w:p>
      <w:r>
        <w:t>IMP08 A reconciliation run freezes the active source versions, CRM snapshot, mapping profiles, campaign mapping, and rule version. Changing any input creates a new run and invalidates affected approvals. Historical runs and export batches remain inspectable until workspace expiry.</w:t>
      </w:r>
    </w:p>
    <w:p>
      <w:pPr>
        <w:pStyle w:val="Heading2"/>
      </w:pPr>
      <w:r>
        <w:t>Bound the public workload</w:t>
      </w:r>
    </w:p>
    <w:p>
      <w:r>
        <w:t>Accept at most 1 MiB and 2,000 data rows per file, three files per report set, 50 columns, and 4,096 characters per cell. Upload files in separate requests. Reject excess work before normalization. Repeated imports must not increase active logical record counts. Public fixtures are smaller than these limits.</w:t>
      </w:r>
    </w:p>
    <w:p>
      <w:r>
        <w:t>The public server checks each upload’s checksum against the published fixture catalog before persisting it. A rejected arbitrary upload is discarded immediately. Local mode uses the same parser and engine without this catalog restriction.</w:t>
      </w:r>
    </w:p>
    <w:p>
      <w:r>
        <w:br w:type="page"/>
      </w:r>
    </w:p>
    <w:p>
      <w:pPr>
        <w:pStyle w:val="Heading1"/>
      </w:pPr>
      <w:r>
        <w:t>6 Matching and proposed CRM changes</w:t>
      </w:r>
    </w:p>
    <w:p>
      <w:pPr>
        <w:pStyle w:val="Heading2"/>
      </w:pPr>
      <w:r>
        <w:t>Matching precedence</w:t>
      </w:r>
    </w:p>
    <w:p>
      <w:r>
        <w:t>MAT01 Match an external_gift_key only within the selected organization and CRM scope. Exactly one compatible CRM record produces an exact match. Multiple records with that key produce a blocking duplicate-target issue; never choose the first row.</w:t>
      </w:r>
    </w:p>
    <w:p>
      <w:r>
        <w:t>MAT02 If the external key is absent, a unique provider_transaction_id in the same provider/account namespace may establish a match. Propose backfilling the external key only after showing the evidence. Conflicting identifiers or currency create a blocking issue.</w:t>
      </w:r>
    </w:p>
    <w:p>
      <w:r>
        <w:t>MAT03 If identifiers are missing, suggest candidates with exact supporting attributes such as donor reference or email, amount, currency, and gift date. Show which attributes agree and disagree. Candidates always require explicit human confirmation; names or amounts alone never trigger a match. No probability score is required.</w:t>
      </w:r>
    </w:p>
    <w:p>
      <w:r>
        <w:t>MAT04 A gift with no match and no unresolved candidate can be proposed for creation only when the CRM snapshot is declared complete for that gift. If multiple gifts contend for one CRM record, hold all affected matches until reviewed. A transaction match never merges donor/contact records.</w:t>
      </w:r>
    </w:p>
    <w:p>
      <w:pPr>
        <w:pStyle w:val="Heading2"/>
      </w:pPr>
      <w:r>
        <w:t>Compare fields</w:t>
      </w:r>
    </w:p>
    <w:p>
      <w:r>
        <w:t>DIF01 Compare gross amount, currency, gift date, mapped campaign, cumulative refunded amount, gift status, and external key. Show source and destination values side by side. Exclude fees from gross gift comparisons and treat missing optional donor data as unknown, not an instruction to erase CRM data.</w:t>
      </w:r>
    </w:p>
    <w:p>
      <w:r>
        <w:t>DIF02 Allow explicit campaign_code to campaign_id mappings. Unknown codes remain held; never default them to a general fund. Save who made a mapping and its version. Changing it triggers a new run before approval.</w:t>
      </w:r>
    </w:p>
    <w:p>
      <w:r>
        <w:t>DIF03 The demo destination permits creates without a donor/contact ID, so anonymous gifts work. Export only the whitelisted gift fields. Do not copy donor names, emails, contact consent, or restricted-fund policy into the destination automatically.</w:t>
      </w:r>
    </w:p>
    <w:p>
      <w:pPr>
        <w:pStyle w:val="Heading2"/>
      </w:pPr>
      <w:r>
        <w:t>Export eligibility policy</w:t>
      </w:r>
    </w:p>
    <w:p>
      <w:r>
        <w:t>The demo uses a conservative policy: a new gift must have paid status, a mapped campaign, sufficient CRM coverage, and balanced, complete, provider-reported sent payout evidence for its applicable settlement components. Pending, reversed, partially refunded, or fully refunded gifts absent from the CRM are held for policy review.</w:t>
      </w:r>
    </w:p>
    <w:p>
      <w:r>
        <w:t>Existing gifts may receive approved refund or reversal updates when the source status and complete settlement evidence agree. Preserve the original gross gift and separately update its cumulative returned amount and status. Never delete a gift or set its gross amount to net cash.</w:t>
      </w:r>
    </w:p>
    <w:p>
      <w:r>
        <w:t>These are explicit demonstration rules. A real organization may record gifts before settlement or model refunds differently; those policies belong in a versioned adapter and export profile.</w:t>
      </w:r>
    </w:p>
    <w:p>
      <w:r>
        <w:br w:type="page"/>
      </w:r>
    </w:p>
    <w:p>
      <w:pPr>
        <w:pStyle w:val="Heading1"/>
      </w:pPr>
      <w:r>
        <w:t>7 Payout reconciliation and state meanings</w:t>
      </w:r>
    </w:p>
    <w:p>
      <w:pPr>
        <w:pStyle w:val="Heading2"/>
      </w:pPr>
      <w:r>
        <w:t>Calculate each payout independently</w:t>
      </w:r>
    </w:p>
    <w:p>
      <w:r>
        <w:t>PAY01 Deduplicate components by scoped component ID and resolve their active revisions. Require consistent payout metadata, the expected number of unique valid components, compatible currency, and known component types. A partial file is incomplete even if its visible rows happen to balance.</w:t>
      </w:r>
    </w:p>
    <w:p>
      <w:r>
        <w:t>PAY02 Sum signed component amounts in integer minor units. The difference is calculated component total minus reported net amount. The GBP demo requires an exact zero difference; there is no hidden rounding tolerance or automatically created balancing adjustment.</w:t>
      </w:r>
    </w:p>
    <w:p>
      <w:r>
        <w:t>PAY03 Cross-check gift-credit allocations against original gross gifts and refund/reversal debits against returned amounts only where the supplied reports cover the necessary transaction history. Sum split allocations across payouts. Missing history means insufficient coverage, not a financial discrepancy.</w:t>
      </w:r>
    </w:p>
    <w:p>
      <w:r>
        <w:t>PAY04 Preserve provider-reported adjustment components with their source references. Unsupported or unexplained adjustments remain held. A reviewer cannot type in a balancing amount to turn a failed payout green.</w:t>
      </w:r>
    </w:p>
    <w:p>
      <w:r>
        <w:t>PAY05 A pending payout is expected future activity. A sent payout means the provider report says it was sent. A balanced payout establishes agreement within the supplied reports; confirming receipt at a bank would require a bank statement integration.</w:t>
      </w:r>
    </w:p>
    <w:p>
      <w:pPr>
        <w:pStyle w:val="Heading2"/>
      </w:pPr>
      <w:r>
        <w:t>Keep independent status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76"/>
        <w:gridCol w:w="7704"/>
      </w:tblGrid>
      <w:tr>
        <w:trPr>
          <w:cantSplit/>
          <w:tblHeader/>
        </w:trPr>
        <w:tc>
          <w:tcPr>
            <w:tcW w:type="dxa" w:w="2376"/>
            <w:vAlign w:val="center"/>
            <w:shd w:fill="E9EEF3"/>
          </w:tcPr>
          <w:p>
            <w:pPr>
              <w:spacing w:after="0" w:before="0" w:line="245" w:lineRule="auto"/>
            </w:pPr>
            <w:r>
              <w:rPr>
                <w:b/>
                <w:color w:val="000000"/>
                <w:sz w:val="20"/>
              </w:rPr>
              <w:t>Dimension</w:t>
            </w:r>
          </w:p>
        </w:tc>
        <w:tc>
          <w:tcPr>
            <w:tcW w:type="dxa" w:w="7704"/>
            <w:vAlign w:val="center"/>
            <w:shd w:fill="E9EEF3"/>
          </w:tcPr>
          <w:p>
            <w:pPr>
              <w:spacing w:after="0" w:before="0" w:line="245" w:lineRule="auto"/>
            </w:pPr>
            <w:r>
              <w:rPr>
                <w:b/>
                <w:color w:val="000000"/>
                <w:sz w:val="20"/>
              </w:rPr>
              <w:t>States and meaning</w:t>
            </w:r>
          </w:p>
        </w:tc>
      </w:tr>
      <w:tr>
        <w:trPr>
          <w:cantSplit/>
        </w:trPr>
        <w:tc>
          <w:tcPr>
            <w:tcW w:type="dxa" w:w="2376"/>
            <w:vAlign w:val="center"/>
            <w:shd w:fill="FFFFFF"/>
          </w:tcPr>
          <w:p>
            <w:pPr>
              <w:spacing w:after="0" w:before="0" w:line="245" w:lineRule="auto"/>
            </w:pPr>
            <w:r>
              <w:rPr>
                <w:b w:val="0"/>
                <w:color w:val="000000"/>
                <w:sz w:val="20"/>
              </w:rPr>
              <w:t>Provider gift</w:t>
            </w:r>
          </w:p>
        </w:tc>
        <w:tc>
          <w:tcPr>
            <w:tcW w:type="dxa" w:w="7704"/>
            <w:vAlign w:val="center"/>
            <w:shd w:fill="FFFFFF"/>
          </w:tcPr>
          <w:p>
            <w:pPr>
              <w:spacing w:after="0" w:before="0" w:line="245" w:lineRule="auto"/>
            </w:pPr>
            <w:r>
              <w:rPr>
                <w:b w:val="0"/>
                <w:color w:val="000000"/>
                <w:sz w:val="20"/>
              </w:rPr>
              <w:t>Pending, paid, partially refunded, refunded, reversed.</w:t>
            </w:r>
          </w:p>
        </w:tc>
      </w:tr>
      <w:tr>
        <w:trPr>
          <w:cantSplit/>
        </w:trPr>
        <w:tc>
          <w:tcPr>
            <w:tcW w:type="dxa" w:w="2376"/>
            <w:vAlign w:val="center"/>
            <w:shd w:fill="FFFFFF"/>
          </w:tcPr>
          <w:p>
            <w:pPr>
              <w:spacing w:after="0" w:before="0" w:line="245" w:lineRule="auto"/>
            </w:pPr>
            <w:r>
              <w:rPr>
                <w:b w:val="0"/>
                <w:color w:val="000000"/>
                <w:sz w:val="20"/>
              </w:rPr>
              <w:t>Provider payout</w:t>
            </w:r>
          </w:p>
        </w:tc>
        <w:tc>
          <w:tcPr>
            <w:tcW w:type="dxa" w:w="7704"/>
            <w:vAlign w:val="center"/>
            <w:shd w:fill="FFFFFF"/>
          </w:tcPr>
          <w:p>
            <w:pPr>
              <w:spacing w:after="0" w:before="0" w:line="245" w:lineRule="auto"/>
            </w:pPr>
            <w:r>
              <w:rPr>
                <w:b w:val="0"/>
                <w:color w:val="000000"/>
                <w:sz w:val="20"/>
              </w:rPr>
              <w:t>Pending, sent, cancelled. Separate from arithmetic validity.</w:t>
            </w:r>
          </w:p>
        </w:tc>
      </w:tr>
      <w:tr>
        <w:trPr>
          <w:cantSplit/>
        </w:trPr>
        <w:tc>
          <w:tcPr>
            <w:tcW w:type="dxa" w:w="2376"/>
            <w:vAlign w:val="center"/>
            <w:shd w:fill="FFFFFF"/>
          </w:tcPr>
          <w:p>
            <w:pPr>
              <w:spacing w:after="0" w:before="0" w:line="245" w:lineRule="auto"/>
            </w:pPr>
            <w:r>
              <w:rPr>
                <w:b w:val="0"/>
                <w:color w:val="000000"/>
                <w:sz w:val="20"/>
              </w:rPr>
              <w:t>Reconciliation</w:t>
            </w:r>
          </w:p>
        </w:tc>
        <w:tc>
          <w:tcPr>
            <w:tcW w:type="dxa" w:w="7704"/>
            <w:vAlign w:val="center"/>
            <w:shd w:fill="FFFFFF"/>
          </w:tcPr>
          <w:p>
            <w:pPr>
              <w:spacing w:after="0" w:before="0" w:line="245" w:lineRule="auto"/>
            </w:pPr>
            <w:r>
              <w:rPr>
                <w:b w:val="0"/>
                <w:color w:val="000000"/>
                <w:sz w:val="20"/>
              </w:rPr>
              <w:t>Balanced, difference, incomplete, unsupported, or conflicting evidence.</w:t>
            </w:r>
          </w:p>
        </w:tc>
      </w:tr>
      <w:tr>
        <w:trPr>
          <w:cantSplit/>
        </w:trPr>
        <w:tc>
          <w:tcPr>
            <w:tcW w:type="dxa" w:w="2376"/>
            <w:vAlign w:val="center"/>
            <w:shd w:fill="FFFFFF"/>
          </w:tcPr>
          <w:p>
            <w:pPr>
              <w:spacing w:after="0" w:before="0" w:line="245" w:lineRule="auto"/>
            </w:pPr>
            <w:r>
              <w:rPr>
                <w:b w:val="0"/>
                <w:color w:val="000000"/>
                <w:sz w:val="20"/>
              </w:rPr>
              <w:t>CRM match</w:t>
            </w:r>
          </w:p>
        </w:tc>
        <w:tc>
          <w:tcPr>
            <w:tcW w:type="dxa" w:w="7704"/>
            <w:vAlign w:val="center"/>
            <w:shd w:fill="FFFFFF"/>
          </w:tcPr>
          <w:p>
            <w:pPr>
              <w:spacing w:after="0" w:before="0" w:line="245" w:lineRule="auto"/>
            </w:pPr>
            <w:r>
              <w:rPr>
                <w:b w:val="0"/>
                <w:color w:val="000000"/>
                <w:sz w:val="20"/>
              </w:rPr>
              <w:t>Unmatched, exact, manually confirmed, ambiguous, duplicate target.</w:t>
            </w:r>
          </w:p>
        </w:tc>
      </w:tr>
      <w:tr>
        <w:trPr>
          <w:cantSplit/>
        </w:trPr>
        <w:tc>
          <w:tcPr>
            <w:tcW w:type="dxa" w:w="2376"/>
            <w:vAlign w:val="center"/>
            <w:shd w:fill="FFFFFF"/>
          </w:tcPr>
          <w:p>
            <w:pPr>
              <w:spacing w:after="0" w:before="0" w:line="245" w:lineRule="auto"/>
            </w:pPr>
            <w:r>
              <w:rPr>
                <w:b w:val="0"/>
                <w:color w:val="000000"/>
                <w:sz w:val="20"/>
              </w:rPr>
              <w:t>Review</w:t>
            </w:r>
          </w:p>
        </w:tc>
        <w:tc>
          <w:tcPr>
            <w:tcW w:type="dxa" w:w="7704"/>
            <w:vAlign w:val="center"/>
            <w:shd w:fill="FFFFFF"/>
          </w:tcPr>
          <w:p>
            <w:pPr>
              <w:spacing w:after="0" w:before="0" w:line="245" w:lineRule="auto"/>
            </w:pPr>
            <w:r>
              <w:rPr>
                <w:b w:val="0"/>
                <w:color w:val="000000"/>
                <w:sz w:val="20"/>
              </w:rPr>
              <w:t>Open, approved, deferred, excluded with reason, or superseded.</w:t>
            </w:r>
          </w:p>
        </w:tc>
      </w:tr>
      <w:tr>
        <w:trPr>
          <w:cantSplit/>
        </w:trPr>
        <w:tc>
          <w:tcPr>
            <w:tcW w:type="dxa" w:w="2376"/>
            <w:vAlign w:val="center"/>
            <w:shd w:fill="FFFFFF"/>
          </w:tcPr>
          <w:p>
            <w:pPr>
              <w:spacing w:after="0" w:before="0" w:line="245" w:lineRule="auto"/>
            </w:pPr>
            <w:r>
              <w:rPr>
                <w:b w:val="0"/>
                <w:color w:val="000000"/>
                <w:sz w:val="20"/>
              </w:rPr>
              <w:t>Export</w:t>
            </w:r>
          </w:p>
        </w:tc>
        <w:tc>
          <w:tcPr>
            <w:tcW w:type="dxa" w:w="7704"/>
            <w:vAlign w:val="center"/>
            <w:shd w:fill="FFFFFF"/>
          </w:tcPr>
          <w:p>
            <w:pPr>
              <w:spacing w:after="0" w:before="0" w:line="245" w:lineRule="auto"/>
            </w:pPr>
            <w:r>
              <w:rPr>
                <w:b w:val="0"/>
                <w:color w:val="000000"/>
                <w:sz w:val="20"/>
              </w:rPr>
              <w:t>Not prepared, prepared, downloaded, or checked against a later snapshot.</w:t>
            </w:r>
          </w:p>
        </w:tc>
      </w:tr>
      <w:tr>
        <w:trPr>
          <w:cantSplit/>
        </w:trPr>
        <w:tc>
          <w:tcPr>
            <w:tcW w:type="dxa" w:w="2376"/>
            <w:vAlign w:val="center"/>
            <w:shd w:fill="FFFFFF"/>
          </w:tcPr>
          <w:p>
            <w:pPr>
              <w:spacing w:after="0" w:before="0" w:line="245" w:lineRule="auto"/>
            </w:pPr>
            <w:r>
              <w:rPr>
                <w:b w:val="0"/>
                <w:color w:val="000000"/>
                <w:sz w:val="20"/>
              </w:rPr>
              <w:t>Confirmation</w:t>
            </w:r>
          </w:p>
        </w:tc>
        <w:tc>
          <w:tcPr>
            <w:tcW w:type="dxa" w:w="7704"/>
            <w:vAlign w:val="center"/>
            <w:shd w:fill="FFFFFF"/>
          </w:tcPr>
          <w:p>
            <w:pPr>
              <w:spacing w:after="0" w:before="0" w:line="245" w:lineRule="auto"/>
            </w:pPr>
            <w:r>
              <w:rPr>
                <w:b w:val="0"/>
                <w:color w:val="000000"/>
                <w:sz w:val="20"/>
              </w:rPr>
              <w:t>Matches snapshot, mismatches snapshot, or cannot verify coverage.</w:t>
            </w:r>
          </w:p>
        </w:tc>
      </w:tr>
    </w:tbl>
    <w:p>
      <w:pPr>
        <w:spacing w:after="20"/>
      </w:pPr>
    </w:p>
    <w:p>
      <w:pPr>
        <w:pStyle w:val="Heading2"/>
      </w:pPr>
      <w:r>
        <w:t>Totals and explanations</w:t>
      </w:r>
    </w:p>
    <w:p>
      <w:r>
        <w:t>Show gross gifts, returned amounts, fees, adjustments, reported payouts, and reconciliation differences as separate measures. Do not add them into a single “money recovered” total. Every summary declares its currency, date basis, included statuses, and exclusions. Issue counts may exceed gift counts; label both clearly.</w:t>
      </w:r>
    </w:p>
    <w:p>
      <w:r>
        <w:br w:type="page"/>
      </w:r>
    </w:p>
    <w:p>
      <w:pPr>
        <w:pStyle w:val="Heading1"/>
      </w:pPr>
      <w:r>
        <w:t>8 Exception review and audit trail</w:t>
      </w:r>
    </w:p>
    <w:p>
      <w:pPr>
        <w:pStyle w:val="Heading2"/>
      </w:pPr>
      <w:r>
        <w:t>Issue classes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40"/>
        <w:gridCol w:w="5544"/>
        <w:gridCol w:w="3096"/>
      </w:tblGrid>
      <w:tr>
        <w:trPr>
          <w:cantSplit/>
          <w:tblHeader/>
        </w:trPr>
        <w:tc>
          <w:tcPr>
            <w:tcW w:type="dxa" w:w="1440"/>
            <w:vAlign w:val="center"/>
            <w:shd w:fill="E9EEF3"/>
          </w:tcPr>
          <w:p>
            <w:pPr>
              <w:spacing w:after="0" w:before="0" w:line="245" w:lineRule="auto"/>
            </w:pPr>
            <w:r>
              <w:rPr>
                <w:b/>
                <w:color w:val="000000"/>
                <w:sz w:val="20"/>
              </w:rPr>
              <w:t>Severity</w:t>
            </w:r>
          </w:p>
        </w:tc>
        <w:tc>
          <w:tcPr>
            <w:tcW w:type="dxa" w:w="5544"/>
            <w:vAlign w:val="center"/>
            <w:shd w:fill="E9EEF3"/>
          </w:tcPr>
          <w:p>
            <w:pPr>
              <w:spacing w:after="0" w:before="0" w:line="245" w:lineRule="auto"/>
            </w:pPr>
            <w:r>
              <w:rPr>
                <w:b/>
                <w:color w:val="000000"/>
                <w:sz w:val="20"/>
              </w:rPr>
              <w:t>Examples</w:t>
            </w:r>
          </w:p>
        </w:tc>
        <w:tc>
          <w:tcPr>
            <w:tcW w:type="dxa" w:w="3096"/>
            <w:vAlign w:val="center"/>
            <w:shd w:fill="E9EEF3"/>
          </w:tcPr>
          <w:p>
            <w:pPr>
              <w:spacing w:after="0" w:before="0" w:line="245" w:lineRule="auto"/>
            </w:pPr>
            <w:r>
              <w:rPr>
                <w:b/>
                <w:color w:val="000000"/>
                <w:sz w:val="20"/>
              </w:rPr>
              <w:t>Export effect</w:t>
            </w:r>
          </w:p>
        </w:tc>
      </w:tr>
      <w:tr>
        <w:trPr>
          <w:cantSplit/>
        </w:trPr>
        <w:tc>
          <w:tcPr>
            <w:tcW w:type="dxa" w:w="1440"/>
            <w:vAlign w:val="center"/>
            <w:shd w:fill="FFFFFF"/>
          </w:tcPr>
          <w:p>
            <w:pPr>
              <w:spacing w:after="0" w:before="0" w:line="245" w:lineRule="auto"/>
            </w:pPr>
            <w:r>
              <w:rPr>
                <w:b w:val="0"/>
                <w:color w:val="000000"/>
                <w:sz w:val="20"/>
              </w:rPr>
              <w:t>Blocking</w:t>
            </w:r>
          </w:p>
        </w:tc>
        <w:tc>
          <w:tcPr>
            <w:tcW w:type="dxa" w:w="5544"/>
            <w:vAlign w:val="center"/>
            <w:shd w:fill="FFFFFF"/>
          </w:tcPr>
          <w:p>
            <w:pPr>
              <w:spacing w:after="0" w:before="0" w:line="245" w:lineRule="auto"/>
            </w:pPr>
            <w:r>
              <w:rPr>
                <w:b w:val="0"/>
                <w:color w:val="000000"/>
                <w:sz w:val="20"/>
              </w:rPr>
              <w:t>Invalid required fields, conflicting IDs or versions, duplicate CRM targets, unmapped campaign, payout difference, insufficient coverage.</w:t>
            </w:r>
          </w:p>
        </w:tc>
        <w:tc>
          <w:tcPr>
            <w:tcW w:type="dxa" w:w="3096"/>
            <w:vAlign w:val="center"/>
            <w:shd w:fill="FFFFFF"/>
          </w:tcPr>
          <w:p>
            <w:pPr>
              <w:spacing w:after="0" w:before="0" w:line="245" w:lineRule="auto"/>
            </w:pPr>
            <w:r>
              <w:rPr>
                <w:b w:val="0"/>
                <w:color w:val="000000"/>
                <w:sz w:val="20"/>
              </w:rPr>
              <w:t>Hold the affected gift or payout group.</w:t>
            </w:r>
          </w:p>
        </w:tc>
      </w:tr>
      <w:tr>
        <w:trPr>
          <w:cantSplit/>
        </w:trPr>
        <w:tc>
          <w:tcPr>
            <w:tcW w:type="dxa" w:w="1440"/>
            <w:vAlign w:val="center"/>
            <w:shd w:fill="FFFFFF"/>
          </w:tcPr>
          <w:p>
            <w:pPr>
              <w:spacing w:after="0" w:before="0" w:line="245" w:lineRule="auto"/>
            </w:pPr>
            <w:r>
              <w:rPr>
                <w:b w:val="0"/>
                <w:color w:val="000000"/>
                <w:sz w:val="20"/>
              </w:rPr>
              <w:t>Waiting</w:t>
            </w:r>
          </w:p>
        </w:tc>
        <w:tc>
          <w:tcPr>
            <w:tcW w:type="dxa" w:w="5544"/>
            <w:vAlign w:val="center"/>
            <w:shd w:fill="FFFFFF"/>
          </w:tcPr>
          <w:p>
            <w:pPr>
              <w:spacing w:after="0" w:before="0" w:line="245" w:lineRule="auto"/>
            </w:pPr>
            <w:r>
              <w:rPr>
                <w:b w:val="0"/>
                <w:color w:val="000000"/>
                <w:sz w:val="20"/>
              </w:rPr>
              <w:t>Pending donation, pending payout, or expected later settlement.</w:t>
            </w:r>
          </w:p>
        </w:tc>
        <w:tc>
          <w:tcPr>
            <w:tcW w:type="dxa" w:w="3096"/>
            <w:vAlign w:val="center"/>
            <w:shd w:fill="FFFFFF"/>
          </w:tcPr>
          <w:p>
            <w:pPr>
              <w:spacing w:after="0" w:before="0" w:line="245" w:lineRule="auto"/>
            </w:pPr>
            <w:r>
              <w:rPr>
                <w:b w:val="0"/>
                <w:color w:val="000000"/>
                <w:sz w:val="20"/>
              </w:rPr>
              <w:t>Hold pending evidence; do not label as missing money.</w:t>
            </w:r>
          </w:p>
        </w:tc>
      </w:tr>
      <w:tr>
        <w:trPr>
          <w:cantSplit/>
        </w:trPr>
        <w:tc>
          <w:tcPr>
            <w:tcW w:type="dxa" w:w="1440"/>
            <w:vAlign w:val="center"/>
            <w:shd w:fill="FFFFFF"/>
          </w:tcPr>
          <w:p>
            <w:pPr>
              <w:spacing w:after="0" w:before="0" w:line="245" w:lineRule="auto"/>
            </w:pPr>
            <w:r>
              <w:rPr>
                <w:b w:val="0"/>
                <w:color w:val="000000"/>
                <w:sz w:val="20"/>
              </w:rPr>
              <w:t>Information</w:t>
            </w:r>
          </w:p>
        </w:tc>
        <w:tc>
          <w:tcPr>
            <w:tcW w:type="dxa" w:w="5544"/>
            <w:vAlign w:val="center"/>
            <w:shd w:fill="FFFFFF"/>
          </w:tcPr>
          <w:p>
            <w:pPr>
              <w:spacing w:after="0" w:before="0" w:line="245" w:lineRule="auto"/>
            </w:pPr>
            <w:r>
              <w:rPr>
                <w:b w:val="0"/>
                <w:color w:val="000000"/>
                <w:sz w:val="20"/>
              </w:rPr>
              <w:t>Exact repeat file, identical overlapping row, retained unused column.</w:t>
            </w:r>
          </w:p>
        </w:tc>
        <w:tc>
          <w:tcPr>
            <w:tcW w:type="dxa" w:w="3096"/>
            <w:vAlign w:val="center"/>
            <w:shd w:fill="FFFFFF"/>
          </w:tcPr>
          <w:p>
            <w:pPr>
              <w:spacing w:after="0" w:before="0" w:line="245" w:lineRule="auto"/>
            </w:pPr>
            <w:r>
              <w:rPr>
                <w:b w:val="0"/>
                <w:color w:val="000000"/>
                <w:sz w:val="20"/>
              </w:rPr>
              <w:t>Explain processing; no extra hold if all other checks pass.</w:t>
            </w:r>
          </w:p>
        </w:tc>
      </w:tr>
    </w:tbl>
    <w:p>
      <w:pPr>
        <w:spacing w:after="20"/>
      </w:pPr>
    </w:p>
    <w:p>
      <w:r>
        <w:t>A gift can have several issues. A payout-level blocking issue holds every export action that depends on that payout; an unrelated CRM issue holds only its affected gifts. Show this dependency in the detail view.</w:t>
      </w:r>
    </w:p>
    <w:p>
      <w:pPr>
        <w:pStyle w:val="Heading2"/>
      </w:pPr>
      <w:r>
        <w:t>Permitted reviewer actions</w:t>
      </w:r>
    </w:p>
    <w:p>
      <w:pPr>
        <w:pStyle w:val="ListBullet"/>
      </w:pPr>
      <w:r>
        <w:t>Confirm a suggested transaction match, recording the selected CRM record and supporting evidence.</w:t>
      </w:r>
    </w:p>
    <w:p>
      <w:pPr>
        <w:pStyle w:val="ListBullet"/>
      </w:pPr>
      <w:r>
        <w:t>Create or revise a campaign mapping, then regenerate affected results.</w:t>
      </w:r>
    </w:p>
    <w:p>
      <w:pPr>
        <w:pStyle w:val="ListBullet"/>
      </w:pPr>
      <w:r>
        <w:t>Approve a valid proposed create or update after inspecting its before and after values.</w:t>
      </w:r>
    </w:p>
    <w:p>
      <w:pPr>
        <w:pStyle w:val="ListBullet"/>
      </w:pPr>
      <w:r>
        <w:t>Defer a record or exclude it from this export with a required reason. Exclusion does not resolve the underlying discrepancy.</w:t>
      </w:r>
    </w:p>
    <w:p>
      <w:pPr>
        <w:pStyle w:val="ListBullet"/>
      </w:pPr>
      <w:r>
        <w:t>Reopen or supersede a decision. Preserve the previous decision in history.</w:t>
      </w:r>
    </w:p>
    <w:p>
      <w:r>
        <w:t>Approval cannot override invalid arithmetic, duplicate identity, incompatible currency, missing required fields, or insufficient source coverage. Those conditions require changed evidence or mappings. Bulk approval applies only to currently eligible, visible or explicitly selected records and shows its exact scope before committing.</w:t>
      </w:r>
    </w:p>
    <w:p>
      <w:pPr>
        <w:pStyle w:val="Heading2"/>
      </w:pPr>
      <w:r>
        <w:t>Audit requirements</w:t>
      </w:r>
    </w:p>
    <w:p>
      <w:r>
        <w:t>Record the action type, actor, UTC timestamp, affected IDs, source/run versions, before and after values, and reason where required. Public actors are anonymous workspace sessions. Source references must link back to file and row. Audit entries are append-only during the workspace lifetime; the UI cannot edit or delete individual entries.</w:t>
      </w:r>
    </w:p>
    <w:p>
      <w:r>
        <w:t>Use optimistic concurrency for decisions. A request carries the current run and decision revision. If another browser tab has changed the inputs or decision, return a conflict and show the new state rather than silently overwriting it.</w:t>
      </w:r>
    </w:p>
    <w:p>
      <w:r>
        <w:t>Persist completed stages and decisions so refreshing or returning with the same browser session resumes the workspace. A reset creates a new scenario state and revokes access to the old one; it does not silently rewrite an existing export batch.</w:t>
      </w:r>
    </w:p>
    <w:p>
      <w:r>
        <w:br w:type="page"/>
      </w:r>
    </w:p>
    <w:p>
      <w:pPr>
        <w:pStyle w:val="Heading1"/>
      </w:pPr>
      <w:r>
        <w:t>9 Export package and confirmation</w:t>
      </w:r>
    </w:p>
    <w:p>
      <w:pPr>
        <w:pStyle w:val="Heading2"/>
      </w:pPr>
      <w:r>
        <w:t>Create a reviewed package</w:t>
      </w:r>
    </w:p>
    <w:p>
      <w:r>
        <w:t>EXP01 Preview exactly four outcome groups: creates, updates, unchanged, and held. Only approved actions from the current run enter the batch. Show field differences, required-field checks, currency, profile version, and the source snapshot time before export.</w:t>
      </w:r>
    </w:p>
    <w:p>
      <w:r>
        <w:t>EXP02 Produce creates.csv, updates.csv, held.csv, audit.csv, and manifest.json in one downloadable ZIP. Use stable row ordering and UTF-8 encoding. The manifest records batch ID, source checksums, run/rule/profile versions, generation time, row counts, and file checksums. Excluded and held records have reason codes.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44"/>
        <w:gridCol w:w="8136"/>
      </w:tblGrid>
      <w:tr>
        <w:trPr>
          <w:cantSplit/>
          <w:tblHeader/>
        </w:trPr>
        <w:tc>
          <w:tcPr>
            <w:tcW w:type="dxa" w:w="1944"/>
            <w:vAlign w:val="center"/>
            <w:shd w:fill="E9EEF3"/>
          </w:tcPr>
          <w:p>
            <w:pPr>
              <w:spacing w:after="0" w:before="0" w:line="245" w:lineRule="auto"/>
            </w:pPr>
            <w:r>
              <w:rPr>
                <w:b/>
                <w:color w:val="000000"/>
                <w:sz w:val="20"/>
              </w:rPr>
              <w:t>File</w:t>
            </w:r>
          </w:p>
        </w:tc>
        <w:tc>
          <w:tcPr>
            <w:tcW w:type="dxa" w:w="8136"/>
            <w:vAlign w:val="center"/>
            <w:shd w:fill="E9EEF3"/>
          </w:tcPr>
          <w:p>
            <w:pPr>
              <w:spacing w:after="0" w:before="0" w:line="245" w:lineRule="auto"/>
            </w:pPr>
            <w:r>
              <w:rPr>
                <w:b/>
                <w:color w:val="000000"/>
                <w:sz w:val="20"/>
              </w:rPr>
              <w:t>Required destination fields</w:t>
            </w:r>
          </w:p>
        </w:tc>
      </w:tr>
      <w:tr>
        <w:trPr>
          <w:cantSplit/>
        </w:trPr>
        <w:tc>
          <w:tcPr>
            <w:tcW w:type="dxa" w:w="1944"/>
            <w:vAlign w:val="center"/>
            <w:shd w:fill="FFFFFF"/>
          </w:tcPr>
          <w:p>
            <w:pPr>
              <w:spacing w:after="0" w:before="0" w:line="245" w:lineRule="auto"/>
            </w:pPr>
            <w:r>
              <w:rPr>
                <w:b w:val="0"/>
                <w:color w:val="000000"/>
                <w:sz w:val="20"/>
              </w:rPr>
              <w:t>creates.csv</w:t>
            </w:r>
          </w:p>
        </w:tc>
        <w:tc>
          <w:tcPr>
            <w:tcW w:type="dxa" w:w="8136"/>
            <w:vAlign w:val="center"/>
            <w:shd w:fill="FFFFFF"/>
          </w:tcPr>
          <w:p>
            <w:pPr>
              <w:spacing w:after="0" w:before="0" w:line="245" w:lineRule="auto"/>
            </w:pPr>
            <w:r>
              <w:rPr>
                <w:b w:val="0"/>
                <w:color w:val="000000"/>
                <w:sz w:val="20"/>
              </w:rPr>
              <w:t>external_gift_key, source_transaction_id, gifted_at, currency, gross_amount, refunded_amount, gift_status, campaign_id</w:t>
            </w:r>
          </w:p>
        </w:tc>
      </w:tr>
      <w:tr>
        <w:trPr>
          <w:cantSplit/>
        </w:trPr>
        <w:tc>
          <w:tcPr>
            <w:tcW w:type="dxa" w:w="1944"/>
            <w:vAlign w:val="center"/>
            <w:shd w:fill="FFFFFF"/>
          </w:tcPr>
          <w:p>
            <w:pPr>
              <w:spacing w:after="0" w:before="0" w:line="245" w:lineRule="auto"/>
            </w:pPr>
            <w:r>
              <w:rPr>
                <w:b w:val="0"/>
                <w:color w:val="000000"/>
                <w:sz w:val="20"/>
              </w:rPr>
              <w:t>updates.csv</w:t>
            </w:r>
          </w:p>
        </w:tc>
        <w:tc>
          <w:tcPr>
            <w:tcW w:type="dxa" w:w="8136"/>
            <w:vAlign w:val="center"/>
            <w:shd w:fill="FFFFFF"/>
          </w:tcPr>
          <w:p>
            <w:pPr>
              <w:spacing w:after="0" w:before="0" w:line="245" w:lineRule="auto"/>
            </w:pPr>
            <w:r>
              <w:rPr>
                <w:b w:val="0"/>
                <w:color w:val="000000"/>
                <w:sz w:val="20"/>
              </w:rPr>
              <w:t>crm_record_id, external_gift_key, and the full expected values of the same allowed gift fields</w:t>
            </w:r>
          </w:p>
        </w:tc>
      </w:tr>
      <w:tr>
        <w:trPr>
          <w:cantSplit/>
        </w:trPr>
        <w:tc>
          <w:tcPr>
            <w:tcW w:type="dxa" w:w="1944"/>
            <w:vAlign w:val="center"/>
            <w:shd w:fill="FFFFFF"/>
          </w:tcPr>
          <w:p>
            <w:pPr>
              <w:spacing w:after="0" w:before="0" w:line="245" w:lineRule="auto"/>
            </w:pPr>
            <w:r>
              <w:rPr>
                <w:b w:val="0"/>
                <w:color w:val="000000"/>
                <w:sz w:val="20"/>
              </w:rPr>
              <w:t>held.csv</w:t>
            </w:r>
          </w:p>
        </w:tc>
        <w:tc>
          <w:tcPr>
            <w:tcW w:type="dxa" w:w="8136"/>
            <w:vAlign w:val="center"/>
            <w:shd w:fill="FFFFFF"/>
          </w:tcPr>
          <w:p>
            <w:pPr>
              <w:spacing w:after="0" w:before="0" w:line="245" w:lineRule="auto"/>
            </w:pPr>
            <w:r>
              <w:rPr>
                <w:b w:val="0"/>
                <w:color w:val="000000"/>
                <w:sz w:val="20"/>
              </w:rPr>
              <w:t>external_gift_key, transaction_id, issue codes, review state, reason, and source references</w:t>
            </w:r>
          </w:p>
        </w:tc>
      </w:tr>
    </w:tbl>
    <w:p>
      <w:pPr>
        <w:spacing w:after="20"/>
      </w:pPr>
    </w:p>
    <w:p>
      <w:r>
        <w:t>The demo profile is a generic gift import contract, not a claim of Salesforce compatibility. Preserve existing CRM values for fields without an approved change. Blank values never silently clear destination fields. Reject an export if required values or its destination profile are invalid.</w:t>
      </w:r>
    </w:p>
    <w:p>
      <w:pPr>
        <w:pStyle w:val="Heading2"/>
      </w:pPr>
      <w:r>
        <w:t>Repeatability and destination safeguards</w:t>
      </w:r>
    </w:p>
    <w:p>
      <w:r>
        <w:t>EXP03 Generate an export fingerprint from the workspace, immutable run, approved actions, and profile. Repeating the request returns the same batch and bytes. Include expected before and after field hashes in the manifest for each update. Previously exported but unconfirmed creates cannot be included in a new batch without refreshed evidence or an explicit audited supersession.</w:t>
      </w:r>
    </w:p>
    <w:p>
      <w:r>
        <w:t>EXP04 Use the stable external gift key for target-side deduplication where the eventual importer supports it. This tool alone cannot prevent someone importing a CSV twice into a destination without uniqueness enforcement. Document the required target mapping and validation.</w:t>
      </w:r>
    </w:p>
    <w:p>
      <w:r>
        <w:t>EXP05 Quote CSV correctly. In held.csv and audit.csv, prefix formula-leading text with an apostrophe while preserving raw evidence. Validate machine-import text against the destination profile; hold identifiers needing formula escaping rather than silently changing their values. Preserve IDs as text and money as validated decimals. The README specifies import column types, including leading-zero IDs.</w:t>
      </w:r>
    </w:p>
    <w:p>
      <w:pPr>
        <w:pStyle w:val="Heading2"/>
      </w:pPr>
      <w:r>
        <w:t>Check a later snapshot</w:t>
      </w:r>
    </w:p>
    <w:p>
      <w:r>
        <w:t>CON01 Select a fresh CRM snapshot generated after the batch. Compare each action’s key and expected fields. Report matches, mismatches, duplicate keys, and insufficient coverage separately. Do not mark export generation or download as successful synchronization.</w:t>
      </w:r>
    </w:p>
    <w:p>
      <w:r>
        <w:t>The public demo loads a labeled simulated post-import snapshot. Its loader assigns a simulated generated_at after batch creation while preserving fixture gift dates; never alter a real report timestamp this way. A rerun must propose no repeated actions for the six confirmed gifts. Snapshot agreement confirms recorded values, not how an external import executed.</w:t>
      </w:r>
    </w:p>
    <w:p>
      <w:r>
        <w:br w:type="page"/>
      </w:r>
    </w:p>
    <w:p>
      <w:pPr>
        <w:pStyle w:val="Heading1"/>
      </w:pPr>
      <w:r>
        <w:t>10 Application architecture and persistence</w:t>
      </w:r>
    </w:p>
    <w:p>
      <w:r>
        <w:t>Use a Laravel monolith with server-rendered Blade pages and small JavaScript modules for upload, filters, dialogs, and request status. Keep matching and accounting decisions in PHP domain services. JavaScript must not be the source of truth for approvals or export eligibility.</w:t>
      </w:r>
    </w:p>
    <w:p>
      <w:pPr>
        <w:pStyle w:val="Heading2"/>
      </w:pPr>
      <w:r>
        <w:t>Domain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40"/>
        <w:gridCol w:w="6840"/>
      </w:tblGrid>
      <w:tr>
        <w:trPr>
          <w:cantSplit/>
          <w:tblHeader/>
        </w:trPr>
        <w:tc>
          <w:tcPr>
            <w:tcW w:type="dxa" w:w="3240"/>
            <w:vAlign w:val="center"/>
            <w:shd w:fill="E9EEF3"/>
          </w:tcPr>
          <w:p>
            <w:pPr>
              <w:spacing w:after="0" w:before="0" w:line="245" w:lineRule="auto"/>
            </w:pPr>
            <w:r>
              <w:rPr>
                <w:b/>
                <w:color w:val="000000"/>
                <w:sz w:val="20"/>
              </w:rPr>
              <w:t>Service</w:t>
            </w:r>
          </w:p>
        </w:tc>
        <w:tc>
          <w:tcPr>
            <w:tcW w:type="dxa" w:w="6840"/>
            <w:vAlign w:val="center"/>
            <w:shd w:fill="E9EEF3"/>
          </w:tcPr>
          <w:p>
            <w:pPr>
              <w:spacing w:after="0" w:before="0" w:line="245" w:lineRule="auto"/>
            </w:pPr>
            <w:r>
              <w:rPr>
                <w:b/>
                <w:color w:val="000000"/>
                <w:sz w:val="20"/>
              </w:rPr>
              <w:t>Responsibility</w:t>
            </w:r>
          </w:p>
        </w:tc>
      </w:tr>
      <w:tr>
        <w:trPr>
          <w:cantSplit/>
        </w:trPr>
        <w:tc>
          <w:tcPr>
            <w:tcW w:type="dxa" w:w="3240"/>
            <w:vAlign w:val="center"/>
            <w:shd w:fill="FFFFFF"/>
          </w:tcPr>
          <w:p>
            <w:pPr>
              <w:spacing w:after="0" w:before="0" w:line="245" w:lineRule="auto"/>
            </w:pPr>
            <w:r>
              <w:rPr>
                <w:b w:val="0"/>
                <w:color w:val="000000"/>
                <w:sz w:val="20"/>
              </w:rPr>
              <w:t>ImportService and adapters</w:t>
            </w:r>
          </w:p>
        </w:tc>
        <w:tc>
          <w:tcPr>
            <w:tcW w:type="dxa" w:w="6840"/>
            <w:vAlign w:val="center"/>
            <w:shd w:fill="FFFFFF"/>
          </w:tcPr>
          <w:p>
            <w:pPr>
              <w:spacing w:after="0" w:before="0" w:line="245" w:lineRule="auto"/>
            </w:pPr>
            <w:r>
              <w:rPr>
                <w:b w:val="0"/>
                <w:color w:val="000000"/>
                <w:sz w:val="20"/>
              </w:rPr>
              <w:t>Bounded parsing, column mapping, source context, immutable row versions, and validation.</w:t>
            </w:r>
          </w:p>
        </w:tc>
      </w:tr>
      <w:tr>
        <w:trPr>
          <w:cantSplit/>
        </w:trPr>
        <w:tc>
          <w:tcPr>
            <w:tcW w:type="dxa" w:w="3240"/>
            <w:vAlign w:val="center"/>
            <w:shd w:fill="FFFFFF"/>
          </w:tcPr>
          <w:p>
            <w:pPr>
              <w:spacing w:after="0" w:before="0" w:line="245" w:lineRule="auto"/>
            </w:pPr>
            <w:r>
              <w:rPr>
                <w:b w:val="0"/>
                <w:color w:val="000000"/>
                <w:sz w:val="20"/>
              </w:rPr>
              <w:t>MatchService</w:t>
            </w:r>
          </w:p>
        </w:tc>
        <w:tc>
          <w:tcPr>
            <w:tcW w:type="dxa" w:w="6840"/>
            <w:vAlign w:val="center"/>
            <w:shd w:fill="FFFFFF"/>
          </w:tcPr>
          <w:p>
            <w:pPr>
              <w:spacing w:after="0" w:before="0" w:line="245" w:lineRule="auto"/>
            </w:pPr>
            <w:r>
              <w:rPr>
                <w:b w:val="0"/>
                <w:color w:val="000000"/>
                <w:sz w:val="20"/>
              </w:rPr>
              <w:t>Scoped identity matching, candidate suggestions, and field differences.</w:t>
            </w:r>
          </w:p>
        </w:tc>
      </w:tr>
      <w:tr>
        <w:trPr>
          <w:cantSplit/>
        </w:trPr>
        <w:tc>
          <w:tcPr>
            <w:tcW w:type="dxa" w:w="3240"/>
            <w:vAlign w:val="center"/>
            <w:shd w:fill="FFFFFF"/>
          </w:tcPr>
          <w:p>
            <w:pPr>
              <w:spacing w:after="0" w:before="0" w:line="245" w:lineRule="auto"/>
            </w:pPr>
            <w:r>
              <w:rPr>
                <w:b w:val="0"/>
                <w:color w:val="000000"/>
                <w:sz w:val="20"/>
              </w:rPr>
              <w:t>PayoutReconciler</w:t>
            </w:r>
          </w:p>
        </w:tc>
        <w:tc>
          <w:tcPr>
            <w:tcW w:type="dxa" w:w="6840"/>
            <w:vAlign w:val="center"/>
            <w:shd w:fill="FFFFFF"/>
          </w:tcPr>
          <w:p>
            <w:pPr>
              <w:spacing w:after="0" w:before="0" w:line="245" w:lineRule="auto"/>
            </w:pPr>
            <w:r>
              <w:rPr>
                <w:b w:val="0"/>
                <w:color w:val="000000"/>
                <w:sz w:val="20"/>
              </w:rPr>
              <w:t>Component completeness, integer arithmetic, and cross-report checks.</w:t>
            </w:r>
          </w:p>
        </w:tc>
      </w:tr>
      <w:tr>
        <w:trPr>
          <w:cantSplit/>
        </w:trPr>
        <w:tc>
          <w:tcPr>
            <w:tcW w:type="dxa" w:w="3240"/>
            <w:vAlign w:val="center"/>
            <w:shd w:fill="FFFFFF"/>
          </w:tcPr>
          <w:p>
            <w:pPr>
              <w:spacing w:after="0" w:before="0" w:line="245" w:lineRule="auto"/>
            </w:pPr>
            <w:r>
              <w:rPr>
                <w:b w:val="0"/>
                <w:color w:val="000000"/>
                <w:sz w:val="20"/>
              </w:rPr>
              <w:t>ReviewService</w:t>
            </w:r>
          </w:p>
        </w:tc>
        <w:tc>
          <w:tcPr>
            <w:tcW w:type="dxa" w:w="6840"/>
            <w:vAlign w:val="center"/>
            <w:shd w:fill="FFFFFF"/>
          </w:tcPr>
          <w:p>
            <w:pPr>
              <w:spacing w:after="0" w:before="0" w:line="245" w:lineRule="auto"/>
            </w:pPr>
            <w:r>
              <w:rPr>
                <w:b w:val="0"/>
                <w:color w:val="000000"/>
                <w:sz w:val="20"/>
              </w:rPr>
              <w:t>Decision eligibility, optimistic concurrency, and audit events.</w:t>
            </w:r>
          </w:p>
        </w:tc>
      </w:tr>
      <w:tr>
        <w:trPr>
          <w:cantSplit/>
        </w:trPr>
        <w:tc>
          <w:tcPr>
            <w:tcW w:type="dxa" w:w="3240"/>
            <w:vAlign w:val="center"/>
            <w:shd w:fill="FFFFFF"/>
          </w:tcPr>
          <w:p>
            <w:pPr>
              <w:spacing w:after="0" w:before="0" w:line="245" w:lineRule="auto"/>
            </w:pPr>
            <w:r>
              <w:rPr>
                <w:b w:val="0"/>
                <w:color w:val="000000"/>
                <w:sz w:val="20"/>
              </w:rPr>
              <w:t>ExportService and profiles</w:t>
            </w:r>
          </w:p>
        </w:tc>
        <w:tc>
          <w:tcPr>
            <w:tcW w:type="dxa" w:w="6840"/>
            <w:vAlign w:val="center"/>
            <w:shd w:fill="FFFFFF"/>
          </w:tcPr>
          <w:p>
            <w:pPr>
              <w:spacing w:after="0" w:before="0" w:line="245" w:lineRule="auto"/>
            </w:pPr>
            <w:r>
              <w:rPr>
                <w:b w:val="0"/>
                <w:color w:val="000000"/>
                <w:sz w:val="20"/>
              </w:rPr>
              <w:t>Approved-action snapshot, destination validation, files, and manifest.</w:t>
            </w:r>
          </w:p>
        </w:tc>
      </w:tr>
      <w:tr>
        <w:trPr>
          <w:cantSplit/>
        </w:trPr>
        <w:tc>
          <w:tcPr>
            <w:tcW w:type="dxa" w:w="3240"/>
            <w:vAlign w:val="center"/>
            <w:shd w:fill="FFFFFF"/>
          </w:tcPr>
          <w:p>
            <w:pPr>
              <w:spacing w:after="0" w:before="0" w:line="245" w:lineRule="auto"/>
            </w:pPr>
            <w:r>
              <w:rPr>
                <w:b w:val="0"/>
                <w:color w:val="000000"/>
                <w:sz w:val="20"/>
              </w:rPr>
              <w:t>ConfirmationService</w:t>
            </w:r>
          </w:p>
        </w:tc>
        <w:tc>
          <w:tcPr>
            <w:tcW w:type="dxa" w:w="6840"/>
            <w:vAlign w:val="center"/>
            <w:shd w:fill="FFFFFF"/>
          </w:tcPr>
          <w:p>
            <w:pPr>
              <w:spacing w:after="0" w:before="0" w:line="245" w:lineRule="auto"/>
            </w:pPr>
            <w:r>
              <w:rPr>
                <w:b w:val="0"/>
                <w:color w:val="000000"/>
                <w:sz w:val="20"/>
              </w:rPr>
              <w:t>Compare an export with a selected later CRM snapshot.</w:t>
            </w:r>
          </w:p>
        </w:tc>
      </w:tr>
    </w:tbl>
    <w:p>
      <w:pPr>
        <w:spacing w:after="20"/>
      </w:pPr>
    </w:p>
    <w:p>
      <w:pPr>
        <w:pStyle w:val="Heading2"/>
      </w:pPr>
      <w:r>
        <w:t>Persistent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168"/>
        <w:gridCol w:w="6912"/>
      </w:tblGrid>
      <w:tr>
        <w:trPr>
          <w:cantSplit/>
          <w:tblHeader/>
        </w:trPr>
        <w:tc>
          <w:tcPr>
            <w:tcW w:type="dxa" w:w="3168"/>
            <w:vAlign w:val="center"/>
            <w:shd w:fill="E9EEF3"/>
          </w:tcPr>
          <w:p>
            <w:pPr>
              <w:spacing w:after="0" w:before="0" w:line="245" w:lineRule="auto"/>
            </w:pPr>
            <w:r>
              <w:rPr>
                <w:b/>
                <w:color w:val="000000"/>
                <w:sz w:val="20"/>
              </w:rPr>
              <w:t>Record group</w:t>
            </w:r>
          </w:p>
        </w:tc>
        <w:tc>
          <w:tcPr>
            <w:tcW w:type="dxa" w:w="6912"/>
            <w:vAlign w:val="center"/>
            <w:shd w:fill="E9EEF3"/>
          </w:tcPr>
          <w:p>
            <w:pPr>
              <w:spacing w:after="0" w:before="0" w:line="245" w:lineRule="auto"/>
            </w:pPr>
            <w:r>
              <w:rPr>
                <w:b/>
                <w:color w:val="000000"/>
                <w:sz w:val="20"/>
              </w:rPr>
              <w:t>Essential data and constraints</w:t>
            </w:r>
          </w:p>
        </w:tc>
      </w:tr>
      <w:tr>
        <w:trPr>
          <w:cantSplit/>
        </w:trPr>
        <w:tc>
          <w:tcPr>
            <w:tcW w:type="dxa" w:w="3168"/>
            <w:vAlign w:val="center"/>
            <w:shd w:fill="FFFFFF"/>
          </w:tcPr>
          <w:p>
            <w:pPr>
              <w:spacing w:after="0" w:before="0" w:line="245" w:lineRule="auto"/>
            </w:pPr>
            <w:r>
              <w:rPr>
                <w:b w:val="0"/>
                <w:color w:val="000000"/>
                <w:sz w:val="20"/>
              </w:rPr>
              <w:t>Workspace and session</w:t>
            </w:r>
          </w:p>
        </w:tc>
        <w:tc>
          <w:tcPr>
            <w:tcW w:type="dxa" w:w="6912"/>
            <w:vAlign w:val="center"/>
            <w:shd w:fill="FFFFFF"/>
          </w:tcPr>
          <w:p>
            <w:pPr>
              <w:spacing w:after="0" w:before="0" w:line="245" w:lineRule="auto"/>
            </w:pPr>
            <w:r>
              <w:rPr>
                <w:b w:val="0"/>
                <w:color w:val="000000"/>
                <w:sz w:val="20"/>
              </w:rPr>
              <w:t>Owner session, mode, creation/expiry times; every child record is workspace scoped.</w:t>
            </w:r>
          </w:p>
        </w:tc>
      </w:tr>
      <w:tr>
        <w:trPr>
          <w:cantSplit/>
        </w:trPr>
        <w:tc>
          <w:tcPr>
            <w:tcW w:type="dxa" w:w="3168"/>
            <w:vAlign w:val="center"/>
            <w:shd w:fill="FFFFFF"/>
          </w:tcPr>
          <w:p>
            <w:pPr>
              <w:spacing w:after="0" w:before="0" w:line="245" w:lineRule="auto"/>
            </w:pPr>
            <w:r>
              <w:rPr>
                <w:b w:val="0"/>
                <w:color w:val="000000"/>
                <w:sz w:val="20"/>
              </w:rPr>
              <w:t>Import and source row</w:t>
            </w:r>
          </w:p>
        </w:tc>
        <w:tc>
          <w:tcPr>
            <w:tcW w:type="dxa" w:w="6912"/>
            <w:vAlign w:val="center"/>
            <w:shd w:fill="FFFFFF"/>
          </w:tcPr>
          <w:p>
            <w:pPr>
              <w:spacing w:after="0" w:before="0" w:line="245" w:lineRule="auto"/>
            </w:pPr>
            <w:r>
              <w:rPr>
                <w:b w:val="0"/>
                <w:color w:val="000000"/>
                <w:sz w:val="20"/>
              </w:rPr>
              <w:t>Type, object key, checksum, context, profile, status, raw cells, row number, errors.</w:t>
            </w:r>
          </w:p>
        </w:tc>
      </w:tr>
      <w:tr>
        <w:trPr>
          <w:cantSplit/>
        </w:trPr>
        <w:tc>
          <w:tcPr>
            <w:tcW w:type="dxa" w:w="3168"/>
            <w:vAlign w:val="center"/>
            <w:shd w:fill="FFFFFF"/>
          </w:tcPr>
          <w:p>
            <w:pPr>
              <w:spacing w:after="0" w:before="0" w:line="245" w:lineRule="auto"/>
            </w:pPr>
            <w:r>
              <w:rPr>
                <w:b w:val="0"/>
                <w:color w:val="000000"/>
                <w:sz w:val="20"/>
              </w:rPr>
              <w:t>Gift and gift version</w:t>
            </w:r>
          </w:p>
        </w:tc>
        <w:tc>
          <w:tcPr>
            <w:tcW w:type="dxa" w:w="6912"/>
            <w:vAlign w:val="center"/>
            <w:shd w:fill="FFFFFF"/>
          </w:tcPr>
          <w:p>
            <w:pPr>
              <w:spacing w:after="0" w:before="0" w:line="245" w:lineRule="auto"/>
            </w:pPr>
            <w:r>
              <w:rPr>
                <w:b w:val="0"/>
                <w:color w:val="000000"/>
                <w:sz w:val="20"/>
              </w:rPr>
              <w:t>Unique scoped logical key; immutable normalized versions with source lineage.</w:t>
            </w:r>
          </w:p>
        </w:tc>
      </w:tr>
      <w:tr>
        <w:trPr>
          <w:cantSplit/>
        </w:trPr>
        <w:tc>
          <w:tcPr>
            <w:tcW w:type="dxa" w:w="3168"/>
            <w:vAlign w:val="center"/>
            <w:shd w:fill="FFFFFF"/>
          </w:tcPr>
          <w:p>
            <w:pPr>
              <w:spacing w:after="0" w:before="0" w:line="245" w:lineRule="auto"/>
            </w:pPr>
            <w:r>
              <w:rPr>
                <w:b w:val="0"/>
                <w:color w:val="000000"/>
                <w:sz w:val="20"/>
              </w:rPr>
              <w:t>Payout and component versions</w:t>
            </w:r>
          </w:p>
        </w:tc>
        <w:tc>
          <w:tcPr>
            <w:tcW w:type="dxa" w:w="6912"/>
            <w:vAlign w:val="center"/>
            <w:shd w:fill="FFFFFF"/>
          </w:tcPr>
          <w:p>
            <w:pPr>
              <w:spacing w:after="0" w:before="0" w:line="245" w:lineRule="auto"/>
            </w:pPr>
            <w:r>
              <w:rPr>
                <w:b w:val="0"/>
                <w:color w:val="000000"/>
                <w:sz w:val="20"/>
              </w:rPr>
              <w:t>Scoped payout/component keys, declared total/count, signed amount, gift links.</w:t>
            </w:r>
          </w:p>
        </w:tc>
      </w:tr>
      <w:tr>
        <w:trPr>
          <w:cantSplit/>
        </w:trPr>
        <w:tc>
          <w:tcPr>
            <w:tcW w:type="dxa" w:w="3168"/>
            <w:vAlign w:val="center"/>
            <w:shd w:fill="FFFFFF"/>
          </w:tcPr>
          <w:p>
            <w:pPr>
              <w:spacing w:after="0" w:before="0" w:line="245" w:lineRule="auto"/>
            </w:pPr>
            <w:r>
              <w:rPr>
                <w:b w:val="0"/>
                <w:color w:val="000000"/>
                <w:sz w:val="20"/>
              </w:rPr>
              <w:t>CRM snapshot and records</w:t>
            </w:r>
          </w:p>
        </w:tc>
        <w:tc>
          <w:tcPr>
            <w:tcW w:type="dxa" w:w="6912"/>
            <w:vAlign w:val="center"/>
            <w:shd w:fill="FFFFFF"/>
          </w:tcPr>
          <w:p>
            <w:pPr>
              <w:spacing w:after="0" w:before="0" w:line="245" w:lineRule="auto"/>
            </w:pPr>
            <w:r>
              <w:rPr>
                <w:b w:val="0"/>
                <w:color w:val="000000"/>
                <w:sz w:val="20"/>
              </w:rPr>
              <w:t>Declared scope, generated_at, raw record IDs and keys; duplicate keys remain detectable.</w:t>
            </w:r>
          </w:p>
        </w:tc>
      </w:tr>
      <w:tr>
        <w:trPr>
          <w:cantSplit/>
        </w:trPr>
        <w:tc>
          <w:tcPr>
            <w:tcW w:type="dxa" w:w="3168"/>
            <w:vAlign w:val="center"/>
            <w:shd w:fill="FFFFFF"/>
          </w:tcPr>
          <w:p>
            <w:pPr>
              <w:spacing w:after="0" w:before="0" w:line="245" w:lineRule="auto"/>
            </w:pPr>
            <w:r>
              <w:rPr>
                <w:b w:val="0"/>
                <w:color w:val="000000"/>
                <w:sz w:val="20"/>
              </w:rPr>
              <w:t>Profiles and campaign maps</w:t>
            </w:r>
          </w:p>
        </w:tc>
        <w:tc>
          <w:tcPr>
            <w:tcW w:type="dxa" w:w="6912"/>
            <w:vAlign w:val="center"/>
            <w:shd w:fill="FFFFFF"/>
          </w:tcPr>
          <w:p>
            <w:pPr>
              <w:spacing w:after="0" w:before="0" w:line="245" w:lineRule="auto"/>
            </w:pPr>
            <w:r>
              <w:rPr>
                <w:b w:val="0"/>
                <w:color w:val="000000"/>
                <w:sz w:val="20"/>
              </w:rPr>
              <w:t>Immutable versions of field mappings, status rules, export columns, and campaigns.</w:t>
            </w:r>
          </w:p>
        </w:tc>
      </w:tr>
      <w:tr>
        <w:trPr>
          <w:cantSplit/>
        </w:trPr>
        <w:tc>
          <w:tcPr>
            <w:tcW w:type="dxa" w:w="3168"/>
            <w:vAlign w:val="center"/>
            <w:shd w:fill="FFFFFF"/>
          </w:tcPr>
          <w:p>
            <w:pPr>
              <w:spacing w:after="0" w:before="0" w:line="245" w:lineRule="auto"/>
            </w:pPr>
            <w:r>
              <w:rPr>
                <w:b w:val="0"/>
                <w:color w:val="000000"/>
                <w:sz w:val="20"/>
              </w:rPr>
              <w:t>Run, issue, and decision</w:t>
            </w:r>
          </w:p>
        </w:tc>
        <w:tc>
          <w:tcPr>
            <w:tcW w:type="dxa" w:w="6912"/>
            <w:vAlign w:val="center"/>
            <w:shd w:fill="FFFFFF"/>
          </w:tcPr>
          <w:p>
            <w:pPr>
              <w:spacing w:after="0" w:before="0" w:line="245" w:lineRule="auto"/>
            </w:pPr>
            <w:r>
              <w:rPr>
                <w:b w:val="0"/>
                <w:color w:val="000000"/>
                <w:sz w:val="20"/>
              </w:rPr>
              <w:t>Frozen inputs, findings, actor/reason, revision, supersession, eligibility.</w:t>
            </w:r>
          </w:p>
        </w:tc>
      </w:tr>
      <w:tr>
        <w:trPr>
          <w:cantSplit/>
        </w:trPr>
        <w:tc>
          <w:tcPr>
            <w:tcW w:type="dxa" w:w="3168"/>
            <w:vAlign w:val="center"/>
            <w:shd w:fill="FFFFFF"/>
          </w:tcPr>
          <w:p>
            <w:pPr>
              <w:spacing w:after="0" w:before="0" w:line="245" w:lineRule="auto"/>
            </w:pPr>
            <w:r>
              <w:rPr>
                <w:b w:val="0"/>
                <w:color w:val="000000"/>
                <w:sz w:val="20"/>
              </w:rPr>
              <w:t>Batch and audit event</w:t>
            </w:r>
          </w:p>
        </w:tc>
        <w:tc>
          <w:tcPr>
            <w:tcW w:type="dxa" w:w="6912"/>
            <w:vAlign w:val="center"/>
            <w:shd w:fill="FFFFFF"/>
          </w:tcPr>
          <w:p>
            <w:pPr>
              <w:spacing w:after="0" w:before="0" w:line="245" w:lineRule="auto"/>
            </w:pPr>
            <w:r>
              <w:rPr>
                <w:b w:val="0"/>
                <w:color w:val="000000"/>
                <w:sz w:val="20"/>
              </w:rPr>
              <w:t>Fingerprint, action expectations, file hashes/object keys, append-only history.</w:t>
            </w:r>
          </w:p>
        </w:tc>
      </w:tr>
    </w:tbl>
    <w:p>
      <w:pPr>
        <w:spacing w:after="20"/>
      </w:pPr>
    </w:p>
    <w:p>
      <w:r>
        <w:t>Use PostgreSQL transactions and unique constraints for import activation, logical identity, and export fingerprints. Uniqueness must not hide duplicate rows in raw CRM snapshots. Store output amounts as decimal strings and internal amounts as 64-bit minor-unit integers. Validate overflow before arithmetic.</w:t>
      </w:r>
    </w:p>
    <w:p>
      <w:r>
        <w:t>Store CSVs and ZIPs in private object storage with workspace-scoped keys. Authorize downloads through the application or short-lived signed URLs. Preserve artifacts until expiry; store no durable application state on the Vercel container filesystem.</w:t>
      </w:r>
    </w:p>
    <w:p>
      <w:r>
        <w:br w:type="page"/>
      </w:r>
    </w:p>
    <w:p>
      <w:pPr>
        <w:pStyle w:val="Heading1"/>
      </w:pPr>
      <w:r>
        <w:t>11 Routes and processing lifecycle</w:t>
      </w:r>
    </w:p>
    <w:p>
      <w:r>
        <w:t>Use same-origin routes with Laravel session authorization and request forgery protection. Treat each route below as a contract; URL names may change if behavior remains equivalent.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44"/>
        <w:gridCol w:w="6336"/>
      </w:tblGrid>
      <w:tr>
        <w:trPr>
          <w:cantSplit/>
          <w:tblHeader/>
        </w:trPr>
        <w:tc>
          <w:tcPr>
            <w:tcW w:type="dxa" w:w="3744"/>
            <w:vAlign w:val="center"/>
            <w:shd w:fill="E9EEF3"/>
          </w:tcPr>
          <w:p>
            <w:pPr>
              <w:spacing w:after="0" w:before="0" w:line="245" w:lineRule="auto"/>
            </w:pPr>
            <w:r>
              <w:rPr>
                <w:b/>
                <w:color w:val="000000"/>
                <w:sz w:val="20"/>
              </w:rPr>
              <w:t>Route</w:t>
            </w:r>
          </w:p>
        </w:tc>
        <w:tc>
          <w:tcPr>
            <w:tcW w:type="dxa" w:w="6336"/>
            <w:vAlign w:val="center"/>
            <w:shd w:fill="E9EEF3"/>
          </w:tcPr>
          <w:p>
            <w:pPr>
              <w:spacing w:after="0" w:before="0" w:line="245" w:lineRule="auto"/>
            </w:pPr>
            <w:r>
              <w:rPr>
                <w:b/>
                <w:color w:val="000000"/>
                <w:sz w:val="20"/>
              </w:rPr>
              <w:t>Behavior</w:t>
            </w:r>
          </w:p>
        </w:tc>
      </w:tr>
      <w:tr>
        <w:trPr>
          <w:cantSplit/>
        </w:trPr>
        <w:tc>
          <w:tcPr>
            <w:tcW w:type="dxa" w:w="3744"/>
            <w:vAlign w:val="center"/>
            <w:shd w:fill="FFFFFF"/>
          </w:tcPr>
          <w:p>
            <w:pPr>
              <w:spacing w:after="0" w:before="0" w:line="245" w:lineRule="auto"/>
            </w:pPr>
            <w:r>
              <w:rPr>
                <w:b w:val="0"/>
                <w:color w:val="000000"/>
                <w:sz w:val="20"/>
              </w:rPr>
              <w:t>POST /demo/workspaces</w:t>
            </w:r>
          </w:p>
        </w:tc>
        <w:tc>
          <w:tcPr>
            <w:tcW w:type="dxa" w:w="6336"/>
            <w:vAlign w:val="center"/>
            <w:shd w:fill="FFFFFF"/>
          </w:tcPr>
          <w:p>
            <w:pPr>
              <w:spacing w:after="0" w:before="0" w:line="245" w:lineRule="auto"/>
            </w:pPr>
            <w:r>
              <w:rPr>
                <w:b w:val="0"/>
                <w:color w:val="000000"/>
                <w:sz w:val="20"/>
              </w:rPr>
              <w:t>Create an isolated workspace and load a chosen approved fixture set.</w:t>
            </w:r>
          </w:p>
        </w:tc>
      </w:tr>
      <w:tr>
        <w:trPr>
          <w:cantSplit/>
        </w:trPr>
        <w:tc>
          <w:tcPr>
            <w:tcW w:type="dxa" w:w="3744"/>
            <w:vAlign w:val="center"/>
            <w:shd w:fill="FFFFFF"/>
          </w:tcPr>
          <w:p>
            <w:pPr>
              <w:spacing w:after="0" w:before="0" w:line="245" w:lineRule="auto"/>
            </w:pPr>
            <w:r>
              <w:rPr>
                <w:b w:val="0"/>
                <w:color w:val="000000"/>
                <w:sz w:val="20"/>
              </w:rPr>
              <w:t>POST /imports</w:t>
            </w:r>
          </w:p>
        </w:tc>
        <w:tc>
          <w:tcPr>
            <w:tcW w:type="dxa" w:w="6336"/>
            <w:vAlign w:val="center"/>
            <w:shd w:fill="FFFFFF"/>
          </w:tcPr>
          <w:p>
            <w:pPr>
              <w:spacing w:after="0" w:before="0" w:line="245" w:lineRule="auto"/>
            </w:pPr>
            <w:r>
              <w:rPr>
                <w:b w:val="0"/>
                <w:color w:val="000000"/>
                <w:sz w:val="20"/>
              </w:rPr>
              <w:t>Stage one bounded upload; return import ID, state, counts, and validation findings.</w:t>
            </w:r>
          </w:p>
        </w:tc>
      </w:tr>
      <w:tr>
        <w:trPr>
          <w:cantSplit/>
        </w:trPr>
        <w:tc>
          <w:tcPr>
            <w:tcW w:type="dxa" w:w="3744"/>
            <w:vAlign w:val="center"/>
            <w:shd w:fill="FFFFFF"/>
          </w:tcPr>
          <w:p>
            <w:pPr>
              <w:spacing w:after="0" w:before="0" w:line="245" w:lineRule="auto"/>
            </w:pPr>
            <w:r>
              <w:rPr>
                <w:b w:val="0"/>
                <w:color w:val="000000"/>
                <w:sz w:val="20"/>
              </w:rPr>
              <w:t>GET /imports/{id}</w:t>
            </w:r>
          </w:p>
        </w:tc>
        <w:tc>
          <w:tcPr>
            <w:tcW w:type="dxa" w:w="6336"/>
            <w:vAlign w:val="center"/>
            <w:shd w:fill="FFFFFF"/>
          </w:tcPr>
          <w:p>
            <w:pPr>
              <w:spacing w:after="0" w:before="0" w:line="245" w:lineRule="auto"/>
            </w:pPr>
            <w:r>
              <w:rPr>
                <w:b w:val="0"/>
                <w:color w:val="000000"/>
                <w:sz w:val="20"/>
              </w:rPr>
              <w:t>Read validation, mappings, preview rows, and source provenance.</w:t>
            </w:r>
          </w:p>
        </w:tc>
      </w:tr>
      <w:tr>
        <w:trPr>
          <w:cantSplit/>
        </w:trPr>
        <w:tc>
          <w:tcPr>
            <w:tcW w:type="dxa" w:w="3744"/>
            <w:vAlign w:val="center"/>
            <w:shd w:fill="FFFFFF"/>
          </w:tcPr>
          <w:p>
            <w:pPr>
              <w:spacing w:after="0" w:before="0" w:line="245" w:lineRule="auto"/>
            </w:pPr>
            <w:r>
              <w:rPr>
                <w:b w:val="0"/>
                <w:color w:val="000000"/>
                <w:sz w:val="20"/>
              </w:rPr>
              <w:t>POST /mapping-profiles</w:t>
            </w:r>
          </w:p>
        </w:tc>
        <w:tc>
          <w:tcPr>
            <w:tcW w:type="dxa" w:w="6336"/>
            <w:vAlign w:val="center"/>
            <w:shd w:fill="FFFFFF"/>
          </w:tcPr>
          <w:p>
            <w:pPr>
              <w:spacing w:after="0" w:before="0" w:line="245" w:lineRule="auto"/>
            </w:pPr>
            <w:r>
              <w:rPr>
                <w:b w:val="0"/>
                <w:color w:val="000000"/>
                <w:sz w:val="20"/>
              </w:rPr>
              <w:t>Save a new version and revalidate the selected import.</w:t>
            </w:r>
          </w:p>
        </w:tc>
      </w:tr>
      <w:tr>
        <w:trPr>
          <w:cantSplit/>
        </w:trPr>
        <w:tc>
          <w:tcPr>
            <w:tcW w:type="dxa" w:w="3744"/>
            <w:vAlign w:val="center"/>
            <w:shd w:fill="FFFFFF"/>
          </w:tcPr>
          <w:p>
            <w:pPr>
              <w:spacing w:after="0" w:before="0" w:line="245" w:lineRule="auto"/>
            </w:pPr>
            <w:r>
              <w:rPr>
                <w:b w:val="0"/>
                <w:color w:val="000000"/>
                <w:sz w:val="20"/>
              </w:rPr>
              <w:t>POST /runs</w:t>
            </w:r>
          </w:p>
        </w:tc>
        <w:tc>
          <w:tcPr>
            <w:tcW w:type="dxa" w:w="6336"/>
            <w:vAlign w:val="center"/>
            <w:shd w:fill="FFFFFF"/>
          </w:tcPr>
          <w:p>
            <w:pPr>
              <w:spacing w:after="0" w:before="0" w:line="245" w:lineRule="auto"/>
            </w:pPr>
            <w:r>
              <w:rPr>
                <w:b w:val="0"/>
                <w:color w:val="000000"/>
                <w:sz w:val="20"/>
              </w:rPr>
              <w:t>Reconcile a frozen selection of imports, CRM snapshot, and rule versions.</w:t>
            </w:r>
          </w:p>
        </w:tc>
      </w:tr>
      <w:tr>
        <w:trPr>
          <w:cantSplit/>
        </w:trPr>
        <w:tc>
          <w:tcPr>
            <w:tcW w:type="dxa" w:w="3744"/>
            <w:vAlign w:val="center"/>
            <w:shd w:fill="FFFFFF"/>
          </w:tcPr>
          <w:p>
            <w:pPr>
              <w:spacing w:after="0" w:before="0" w:line="245" w:lineRule="auto"/>
            </w:pPr>
            <w:r>
              <w:rPr>
                <w:b w:val="0"/>
                <w:color w:val="000000"/>
                <w:sz w:val="20"/>
              </w:rPr>
              <w:t>GET /runs/{id}</w:t>
            </w:r>
          </w:p>
        </w:tc>
        <w:tc>
          <w:tcPr>
            <w:tcW w:type="dxa" w:w="6336"/>
            <w:vAlign w:val="center"/>
            <w:shd w:fill="FFFFFF"/>
          </w:tcPr>
          <w:p>
            <w:pPr>
              <w:spacing w:after="0" w:before="0" w:line="245" w:lineRule="auto"/>
            </w:pPr>
            <w:r>
              <w:rPr>
                <w:b w:val="0"/>
                <w:color w:val="000000"/>
                <w:sz w:val="20"/>
              </w:rPr>
              <w:t>Read current processing state, summaries, and input versions.</w:t>
            </w:r>
          </w:p>
        </w:tc>
      </w:tr>
      <w:tr>
        <w:trPr>
          <w:cantSplit/>
        </w:trPr>
        <w:tc>
          <w:tcPr>
            <w:tcW w:type="dxa" w:w="3744"/>
            <w:vAlign w:val="center"/>
            <w:shd w:fill="FFFFFF"/>
          </w:tcPr>
          <w:p>
            <w:pPr>
              <w:spacing w:after="0" w:before="0" w:line="245" w:lineRule="auto"/>
            </w:pPr>
            <w:r>
              <w:rPr>
                <w:b w:val="0"/>
                <w:color w:val="000000"/>
                <w:sz w:val="20"/>
              </w:rPr>
              <w:t>GET /runs/{id}/issues</w:t>
            </w:r>
          </w:p>
        </w:tc>
        <w:tc>
          <w:tcPr>
            <w:tcW w:type="dxa" w:w="6336"/>
            <w:vAlign w:val="center"/>
            <w:shd w:fill="FFFFFF"/>
          </w:tcPr>
          <w:p>
            <w:pPr>
              <w:spacing w:after="0" w:before="0" w:line="245" w:lineRule="auto"/>
            </w:pPr>
            <w:r>
              <w:rPr>
                <w:b w:val="0"/>
                <w:color w:val="000000"/>
                <w:sz w:val="20"/>
              </w:rPr>
              <w:t>Paginated and filtered issue list; detail endpoint returns evidence.</w:t>
            </w:r>
          </w:p>
        </w:tc>
      </w:tr>
      <w:tr>
        <w:trPr>
          <w:cantSplit/>
        </w:trPr>
        <w:tc>
          <w:tcPr>
            <w:tcW w:type="dxa" w:w="3744"/>
            <w:vAlign w:val="center"/>
            <w:shd w:fill="FFFFFF"/>
          </w:tcPr>
          <w:p>
            <w:pPr>
              <w:spacing w:after="0" w:before="0" w:line="245" w:lineRule="auto"/>
            </w:pPr>
            <w:r>
              <w:rPr>
                <w:b w:val="0"/>
                <w:color w:val="000000"/>
                <w:sz w:val="20"/>
              </w:rPr>
              <w:t>POST /decisions</w:t>
            </w:r>
          </w:p>
        </w:tc>
        <w:tc>
          <w:tcPr>
            <w:tcW w:type="dxa" w:w="6336"/>
            <w:vAlign w:val="center"/>
            <w:shd w:fill="FFFFFF"/>
          </w:tcPr>
          <w:p>
            <w:pPr>
              <w:spacing w:after="0" w:before="0" w:line="245" w:lineRule="auto"/>
            </w:pPr>
            <w:r>
              <w:rPr>
                <w:b w:val="0"/>
                <w:color w:val="000000"/>
                <w:sz w:val="20"/>
              </w:rPr>
              <w:t>Record an eligible action with run/revision, selected records, and reason.</w:t>
            </w:r>
          </w:p>
        </w:tc>
      </w:tr>
      <w:tr>
        <w:trPr>
          <w:cantSplit/>
        </w:trPr>
        <w:tc>
          <w:tcPr>
            <w:tcW w:type="dxa" w:w="3744"/>
            <w:vAlign w:val="center"/>
            <w:shd w:fill="FFFFFF"/>
          </w:tcPr>
          <w:p>
            <w:pPr>
              <w:spacing w:after="0" w:before="0" w:line="245" w:lineRule="auto"/>
            </w:pPr>
            <w:r>
              <w:rPr>
                <w:b w:val="0"/>
                <w:color w:val="000000"/>
                <w:sz w:val="20"/>
              </w:rPr>
              <w:t>POST /exports</w:t>
            </w:r>
          </w:p>
        </w:tc>
        <w:tc>
          <w:tcPr>
            <w:tcW w:type="dxa" w:w="6336"/>
            <w:vAlign w:val="center"/>
            <w:shd w:fill="FFFFFF"/>
          </w:tcPr>
          <w:p>
            <w:pPr>
              <w:spacing w:after="0" w:before="0" w:line="245" w:lineRule="auto"/>
            </w:pPr>
            <w:r>
              <w:rPr>
                <w:b w:val="0"/>
                <w:color w:val="000000"/>
                <w:sz w:val="20"/>
              </w:rPr>
              <w:t>Validate approvals and create or reuse the immutable export batch.</w:t>
            </w:r>
          </w:p>
        </w:tc>
      </w:tr>
      <w:tr>
        <w:trPr>
          <w:cantSplit/>
        </w:trPr>
        <w:tc>
          <w:tcPr>
            <w:tcW w:type="dxa" w:w="3744"/>
            <w:vAlign w:val="center"/>
            <w:shd w:fill="FFFFFF"/>
          </w:tcPr>
          <w:p>
            <w:pPr>
              <w:spacing w:after="0" w:before="0" w:line="245" w:lineRule="auto"/>
            </w:pPr>
            <w:r>
              <w:rPr>
                <w:b w:val="0"/>
                <w:color w:val="000000"/>
                <w:sz w:val="20"/>
              </w:rPr>
              <w:t>GET /exports/{id}/download</w:t>
            </w:r>
          </w:p>
        </w:tc>
        <w:tc>
          <w:tcPr>
            <w:tcW w:type="dxa" w:w="6336"/>
            <w:vAlign w:val="center"/>
            <w:shd w:fill="FFFFFF"/>
          </w:tcPr>
          <w:p>
            <w:pPr>
              <w:spacing w:after="0" w:before="0" w:line="245" w:lineRule="auto"/>
            </w:pPr>
            <w:r>
              <w:rPr>
                <w:b w:val="0"/>
                <w:color w:val="000000"/>
                <w:sz w:val="20"/>
              </w:rPr>
              <w:t>Authorize and deliver the prepared ZIP; record download separately.</w:t>
            </w:r>
          </w:p>
        </w:tc>
      </w:tr>
      <w:tr>
        <w:trPr>
          <w:cantSplit/>
        </w:trPr>
        <w:tc>
          <w:tcPr>
            <w:tcW w:type="dxa" w:w="3744"/>
            <w:vAlign w:val="center"/>
            <w:shd w:fill="FFFFFF"/>
          </w:tcPr>
          <w:p>
            <w:pPr>
              <w:spacing w:after="0" w:before="0" w:line="245" w:lineRule="auto"/>
            </w:pPr>
            <w:r>
              <w:rPr>
                <w:b w:val="0"/>
                <w:color w:val="000000"/>
                <w:sz w:val="20"/>
              </w:rPr>
              <w:t>POST /exports/{id}/confirm</w:t>
            </w:r>
          </w:p>
        </w:tc>
        <w:tc>
          <w:tcPr>
            <w:tcW w:type="dxa" w:w="6336"/>
            <w:vAlign w:val="center"/>
            <w:shd w:fill="FFFFFF"/>
          </w:tcPr>
          <w:p>
            <w:pPr>
              <w:spacing w:after="0" w:before="0" w:line="245" w:lineRule="auto"/>
            </w:pPr>
            <w:r>
              <w:rPr>
                <w:b w:val="0"/>
                <w:color w:val="000000"/>
                <w:sz w:val="20"/>
              </w:rPr>
              <w:t>Compare with a selected later CRM snapshot; never write to a CRM.</w:t>
            </w:r>
          </w:p>
        </w:tc>
      </w:tr>
      <w:tr>
        <w:trPr>
          <w:cantSplit/>
        </w:trPr>
        <w:tc>
          <w:tcPr>
            <w:tcW w:type="dxa" w:w="3744"/>
            <w:vAlign w:val="center"/>
            <w:shd w:fill="FFFFFF"/>
          </w:tcPr>
          <w:p>
            <w:pPr>
              <w:spacing w:after="0" w:before="0" w:line="245" w:lineRule="auto"/>
            </w:pPr>
            <w:r>
              <w:rPr>
                <w:b w:val="0"/>
                <w:color w:val="000000"/>
                <w:sz w:val="20"/>
              </w:rPr>
              <w:t>POST /workspace/reset</w:t>
            </w:r>
          </w:p>
        </w:tc>
        <w:tc>
          <w:tcPr>
            <w:tcW w:type="dxa" w:w="6336"/>
            <w:vAlign w:val="center"/>
            <w:shd w:fill="FFFFFF"/>
          </w:tcPr>
          <w:p>
            <w:pPr>
              <w:spacing w:after="0" w:before="0" w:line="245" w:lineRule="auto"/>
            </w:pPr>
            <w:r>
              <w:rPr>
                <w:b w:val="0"/>
                <w:color w:val="000000"/>
                <w:sz w:val="20"/>
              </w:rPr>
              <w:t>Revoke the old workspace and create a clean scenario state.</w:t>
            </w:r>
          </w:p>
        </w:tc>
      </w:tr>
    </w:tbl>
    <w:p>
      <w:pPr>
        <w:spacing w:after="20"/>
      </w:pPr>
    </w:p>
    <w:p>
      <w:pPr>
        <w:pStyle w:val="Heading2"/>
      </w:pPr>
      <w:r>
        <w:t>Request behavior</w:t>
      </w:r>
    </w:p>
    <w:p>
      <w:r>
        <w:t>Upload, reconcile, and export run synchronously for the bounded public datasets. Show an indeterminate processing indicator while a request is active. Persist the run as pending, running, completed, or failed. Stage computed results and activate them atomically only after the full run succeeds.</w:t>
      </w:r>
    </w:p>
    <w:p>
      <w:r>
        <w:t>Use an idempotency key for mutation retries. Repeating a completed request returns its original result. Reusing a key with different input returns a conflict. Concurrent work on the same source selection must reuse or reject the active operation, not launch duplicate exports.</w:t>
      </w:r>
    </w:p>
    <w:p>
      <w:r>
        <w:t>Use a 20-second application processing deadline, a 30-second configured function maximum, and a 60-second operation lease for the initial bounded demo. After a crash, a status read detects an expired lease and exposes retry. A retry must be safe against committed prior work. Show a concise error and trace ID, without stack traces, secrets, or uploaded contents.</w:t>
      </w:r>
    </w:p>
    <w:p>
      <w:r>
        <w:t>Use validation responses for field issues, conflict responses for stale decisions or duplicate active operations, payload-too-large responses for limits, and rate-limit responses with retry guidance. Do not return success when only part of an operation completed.</w:t>
      </w:r>
    </w:p>
    <w:p>
      <w:r>
        <w:br w:type="page"/>
      </w:r>
    </w:p>
    <w:p>
      <w:pPr>
        <w:pStyle w:val="Heading1"/>
      </w:pPr>
      <w:r>
        <w:t>12 Laravel and Vercel deployment</w:t>
      </w:r>
    </w:p>
    <w:p>
      <w:pPr>
        <w:pStyle w:val="Heading2"/>
      </w:pPr>
      <w:r>
        <w:t>Runtime and services</w:t>
      </w:r>
    </w:p>
    <w:p>
      <w:r>
        <w:t>Use Laravel 13 with PHP 8.4, pin dependencies in Composer and frontend lockfiles, and run the same versions locally and in deployment. Laravel 13 supports PHP 8.4 [3]. Package the application with FrankenPHP in Dockerfile.vercel and route requests through public/index.php using a Caddyfile and vercel.json [4].</w:t>
      </w:r>
    </w:p>
    <w:p>
      <w:r>
        <w:t>Vercel’s container runtime is currently in beta and applies function execution limits [5]. Treat container startup, storage access, and request duration as deployment acceptance checks. Keep the Docker image portable so the application can move hosts if those checks fail.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448"/>
        <w:gridCol w:w="7632"/>
      </w:tblGrid>
      <w:tr>
        <w:trPr>
          <w:cantSplit/>
          <w:tblHeader/>
        </w:trPr>
        <w:tc>
          <w:tcPr>
            <w:tcW w:type="dxa" w:w="2448"/>
            <w:vAlign w:val="center"/>
            <w:shd w:fill="E9EEF3"/>
          </w:tcPr>
          <w:p>
            <w:pPr>
              <w:spacing w:after="0" w:before="0" w:line="245" w:lineRule="auto"/>
            </w:pPr>
            <w:r>
              <w:rPr>
                <w:b/>
                <w:color w:val="000000"/>
                <w:sz w:val="20"/>
              </w:rPr>
              <w:t>Concern</w:t>
            </w:r>
          </w:p>
        </w:tc>
        <w:tc>
          <w:tcPr>
            <w:tcW w:type="dxa" w:w="7632"/>
            <w:vAlign w:val="center"/>
            <w:shd w:fill="E9EEF3"/>
          </w:tcPr>
          <w:p>
            <w:pPr>
              <w:spacing w:after="0" w:before="0" w:line="245" w:lineRule="auto"/>
            </w:pPr>
            <w:r>
              <w:rPr>
                <w:b/>
                <w:color w:val="000000"/>
                <w:sz w:val="20"/>
              </w:rPr>
              <w:t>Required configuration</w:t>
            </w:r>
          </w:p>
        </w:tc>
      </w:tr>
      <w:tr>
        <w:trPr>
          <w:cantSplit/>
        </w:trPr>
        <w:tc>
          <w:tcPr>
            <w:tcW w:type="dxa" w:w="2448"/>
            <w:vAlign w:val="center"/>
            <w:shd w:fill="FFFFFF"/>
          </w:tcPr>
          <w:p>
            <w:pPr>
              <w:spacing w:after="0" w:before="0" w:line="245" w:lineRule="auto"/>
            </w:pPr>
            <w:r>
              <w:rPr>
                <w:b w:val="0"/>
                <w:color w:val="000000"/>
                <w:sz w:val="20"/>
              </w:rPr>
              <w:t>Database</w:t>
            </w:r>
          </w:p>
        </w:tc>
        <w:tc>
          <w:tcPr>
            <w:tcW w:type="dxa" w:w="7632"/>
            <w:vAlign w:val="center"/>
            <w:shd w:fill="FFFFFF"/>
          </w:tcPr>
          <w:p>
            <w:pPr>
              <w:spacing w:after="0" w:before="0" w:line="245" w:lineRule="auto"/>
            </w:pPr>
            <w:r>
              <w:rPr>
                <w:b w:val="0"/>
                <w:color w:val="000000"/>
                <w:sz w:val="20"/>
              </w:rPr>
              <w:t>Managed PostgreSQL in a nearby region; encrypted connections and bounded connection pooling.</w:t>
            </w:r>
          </w:p>
        </w:tc>
      </w:tr>
      <w:tr>
        <w:trPr>
          <w:cantSplit/>
        </w:trPr>
        <w:tc>
          <w:tcPr>
            <w:tcW w:type="dxa" w:w="2448"/>
            <w:vAlign w:val="center"/>
            <w:shd w:fill="FFFFFF"/>
          </w:tcPr>
          <w:p>
            <w:pPr>
              <w:spacing w:after="0" w:before="0" w:line="245" w:lineRule="auto"/>
            </w:pPr>
            <w:r>
              <w:rPr>
                <w:b w:val="0"/>
                <w:color w:val="000000"/>
                <w:sz w:val="20"/>
              </w:rPr>
              <w:t>Sessions and shared cache</w:t>
            </w:r>
          </w:p>
        </w:tc>
        <w:tc>
          <w:tcPr>
            <w:tcW w:type="dxa" w:w="7632"/>
            <w:vAlign w:val="center"/>
            <w:shd w:fill="FFFFFF"/>
          </w:tcPr>
          <w:p>
            <w:pPr>
              <w:spacing w:after="0" w:before="0" w:line="245" w:lineRule="auto"/>
            </w:pPr>
            <w:r>
              <w:rPr>
                <w:b w:val="0"/>
                <w:color w:val="000000"/>
                <w:sz w:val="20"/>
              </w:rPr>
              <w:t>Database drivers initially; no local file sessions. Use a stable per-environment APP_KEY.</w:t>
            </w:r>
          </w:p>
        </w:tc>
      </w:tr>
      <w:tr>
        <w:trPr>
          <w:cantSplit/>
        </w:trPr>
        <w:tc>
          <w:tcPr>
            <w:tcW w:type="dxa" w:w="2448"/>
            <w:vAlign w:val="center"/>
            <w:shd w:fill="FFFFFF"/>
          </w:tcPr>
          <w:p>
            <w:pPr>
              <w:spacing w:after="0" w:before="0" w:line="245" w:lineRule="auto"/>
            </w:pPr>
            <w:r>
              <w:rPr>
                <w:b w:val="0"/>
                <w:color w:val="000000"/>
                <w:sz w:val="20"/>
              </w:rPr>
              <w:t>Object storage</w:t>
            </w:r>
          </w:p>
        </w:tc>
        <w:tc>
          <w:tcPr>
            <w:tcW w:type="dxa" w:w="7632"/>
            <w:vAlign w:val="center"/>
            <w:shd w:fill="FFFFFF"/>
          </w:tcPr>
          <w:p>
            <w:pPr>
              <w:spacing w:after="0" w:before="0" w:line="245" w:lineRule="auto"/>
            </w:pPr>
            <w:r>
              <w:rPr>
                <w:b w:val="0"/>
                <w:color w:val="000000"/>
                <w:sz w:val="20"/>
              </w:rPr>
              <w:t>Private S3-compatible bucket via Laravel storage; configure credentials and lifecycle cleanup.</w:t>
            </w:r>
          </w:p>
        </w:tc>
      </w:tr>
      <w:tr>
        <w:trPr>
          <w:cantSplit/>
        </w:trPr>
        <w:tc>
          <w:tcPr>
            <w:tcW w:type="dxa" w:w="2448"/>
            <w:vAlign w:val="center"/>
            <w:shd w:fill="FFFFFF"/>
          </w:tcPr>
          <w:p>
            <w:pPr>
              <w:spacing w:after="0" w:before="0" w:line="245" w:lineRule="auto"/>
            </w:pPr>
            <w:r>
              <w:rPr>
                <w:b w:val="0"/>
                <w:color w:val="000000"/>
                <w:sz w:val="20"/>
              </w:rPr>
              <w:t>Environment</w:t>
            </w:r>
          </w:p>
        </w:tc>
        <w:tc>
          <w:tcPr>
            <w:tcW w:type="dxa" w:w="7632"/>
            <w:vAlign w:val="center"/>
            <w:shd w:fill="FFFFFF"/>
          </w:tcPr>
          <w:p>
            <w:pPr>
              <w:spacing w:after="0" w:before="0" w:line="245" w:lineRule="auto"/>
            </w:pPr>
            <w:r>
              <w:rPr>
                <w:b w:val="0"/>
                <w:color w:val="000000"/>
                <w:sz w:val="20"/>
              </w:rPr>
              <w:t>APP_ENV=production, APP_DEBUG=false, LOG_CHANNEL=stderr; secrets supplied at runtime.</w:t>
            </w:r>
          </w:p>
        </w:tc>
      </w:tr>
      <w:tr>
        <w:trPr>
          <w:cantSplit/>
        </w:trPr>
        <w:tc>
          <w:tcPr>
            <w:tcW w:type="dxa" w:w="2448"/>
            <w:vAlign w:val="center"/>
            <w:shd w:fill="FFFFFF"/>
          </w:tcPr>
          <w:p>
            <w:pPr>
              <w:spacing w:after="0" w:before="0" w:line="245" w:lineRule="auto"/>
            </w:pPr>
            <w:r>
              <w:rPr>
                <w:b w:val="0"/>
                <w:color w:val="000000"/>
                <w:sz w:val="20"/>
              </w:rPr>
              <w:t>Build</w:t>
            </w:r>
          </w:p>
        </w:tc>
        <w:tc>
          <w:tcPr>
            <w:tcW w:type="dxa" w:w="7632"/>
            <w:vAlign w:val="center"/>
            <w:shd w:fill="FFFFFF"/>
          </w:tcPr>
          <w:p>
            <w:pPr>
              <w:spacing w:after="0" w:before="0" w:line="245" w:lineRule="auto"/>
            </w:pPr>
            <w:r>
              <w:rPr>
                <w:b w:val="0"/>
                <w:color w:val="000000"/>
                <w:sz w:val="20"/>
              </w:rPr>
              <w:t>Install production PHP dependencies and required extensions; compile frontend assets and Blade views.</w:t>
            </w:r>
          </w:p>
        </w:tc>
      </w:tr>
      <w:tr>
        <w:trPr>
          <w:cantSplit/>
        </w:trPr>
        <w:tc>
          <w:tcPr>
            <w:tcW w:type="dxa" w:w="2448"/>
            <w:vAlign w:val="center"/>
            <w:shd w:fill="FFFFFF"/>
          </w:tcPr>
          <w:p>
            <w:pPr>
              <w:spacing w:after="0" w:before="0" w:line="245" w:lineRule="auto"/>
            </w:pPr>
            <w:r>
              <w:rPr>
                <w:b w:val="0"/>
                <w:color w:val="000000"/>
                <w:sz w:val="20"/>
              </w:rPr>
              <w:t>Migrations</w:t>
            </w:r>
          </w:p>
        </w:tc>
        <w:tc>
          <w:tcPr>
            <w:tcW w:type="dxa" w:w="7632"/>
            <w:vAlign w:val="center"/>
            <w:shd w:fill="FFFFFF"/>
          </w:tcPr>
          <w:p>
            <w:pPr>
              <w:spacing w:after="0" w:before="0" w:line="245" w:lineRule="auto"/>
            </w:pPr>
            <w:r>
              <w:rPr>
                <w:b w:val="0"/>
                <w:color w:val="000000"/>
                <w:sz w:val="20"/>
              </w:rPr>
              <w:t>Run once as a controlled release step; never at every container startup.</w:t>
            </w:r>
          </w:p>
        </w:tc>
      </w:tr>
      <w:tr>
        <w:trPr>
          <w:cantSplit/>
        </w:trPr>
        <w:tc>
          <w:tcPr>
            <w:tcW w:type="dxa" w:w="2448"/>
            <w:vAlign w:val="center"/>
            <w:shd w:fill="FFFFFF"/>
          </w:tcPr>
          <w:p>
            <w:pPr>
              <w:spacing w:after="0" w:before="0" w:line="245" w:lineRule="auto"/>
            </w:pPr>
            <w:r>
              <w:rPr>
                <w:b w:val="0"/>
                <w:color w:val="000000"/>
                <w:sz w:val="20"/>
              </w:rPr>
              <w:t>Preview deployments</w:t>
            </w:r>
          </w:p>
        </w:tc>
        <w:tc>
          <w:tcPr>
            <w:tcW w:type="dxa" w:w="7632"/>
            <w:vAlign w:val="center"/>
            <w:shd w:fill="FFFFFF"/>
          </w:tcPr>
          <w:p>
            <w:pPr>
              <w:spacing w:after="0" w:before="0" w:line="245" w:lineRule="auto"/>
            </w:pPr>
            <w:r>
              <w:rPr>
                <w:b w:val="0"/>
                <w:color w:val="000000"/>
                <w:sz w:val="20"/>
              </w:rPr>
              <w:t>Separate database/schema, object prefix or bucket, and application key from production.</w:t>
            </w:r>
          </w:p>
        </w:tc>
      </w:tr>
    </w:tbl>
    <w:p>
      <w:pPr>
        <w:spacing w:after="20"/>
      </w:pPr>
    </w:p>
    <w:p>
      <w:pPr>
        <w:pStyle w:val="Heading2"/>
      </w:pPr>
      <w:r>
        <w:t>Jobs and scheduled cleanup</w:t>
      </w:r>
    </w:p>
    <w:p>
      <w:r>
        <w:t>Do not launch a queue worker inside the request-serving container and assume it will remain alive. Public reconciliation is bounded synchronous work. Invoke an authenticated, idempotent cleanup endpoint with Vercel Cron; cap each sweep and continue safely on later sweeps.</w:t>
      </w:r>
    </w:p>
    <w:p>
      <w:r>
        <w:t>If measured workloads later require background processing, retain the same domain services and dispatch resumable jobs through a durable queue and dedicated worker. Vercel Daemons are a possible continuous-worker host [6], but are not required for the first demo release.</w:t>
      </w:r>
    </w:p>
    <w:p>
      <w:pPr>
        <w:pStyle w:val="Heading2"/>
      </w:pPr>
      <w:r>
        <w:t>Operational checks</w:t>
      </w:r>
    </w:p>
    <w:p>
      <w:r>
        <w:t>Provide /up for basic application health and a protected readiness check for database and storage. Deploy a minimal vertical slice first: upload, persist, reconcile, export, and reopen after a new deployment. Confirm data survives container recycling. Record warm and cold request measurements, test expiry cleanup, and maintain a one-command local setup and rollback instructions.</w:t>
      </w:r>
    </w:p>
    <w:p>
      <w:r>
        <w:t>Do not build an environment-specific configuration cache into the image when secrets arrive only at runtime. Never commit application keys, credentials, uploaded files, or production configuration to the repository [4].</w:t>
      </w:r>
    </w:p>
    <w:p>
      <w:r>
        <w:br w:type="page"/>
      </w:r>
    </w:p>
    <w:p>
      <w:pPr>
        <w:pStyle w:val="Heading1"/>
      </w:pPr>
      <w:r>
        <w:t>13 Public access and quality requirements</w:t>
      </w:r>
    </w:p>
    <w:p>
      <w:pPr>
        <w:pStyle w:val="Heading2"/>
      </w:pPr>
      <w:r>
        <w:t>Isolation and retention</w:t>
      </w:r>
    </w:p>
    <w:p>
      <w:r>
        <w:t>PUB01 Associate each workspace with a cryptographically random server-managed session. Use Secure, HttpOnly, SameSite cookies and verify ownership on every read, write, source download, and export. A guessed workspace or record ID must not grant access. Do not share an editable global demo workspace.</w:t>
      </w:r>
    </w:p>
    <w:p>
      <w:r>
        <w:t>PUB02 Expire workspaces 24 hours after creation. Deny access immediately after expiry or reset. Delete workspace database records and storage objects through a retryable cleanup sweep within the following 24 hours; use storage lifecycle rules as a backstop. State this retention behavior on the demo.</w:t>
      </w:r>
    </w:p>
    <w:p>
      <w:r>
        <w:t>PUB03 Restrict public uploads to catalogued synthetic fixtures on the server. Do not store rejected file contents. Display “Use the supplied sample files” beside upload controls. Public review reasons and other free text are length-limited, escaped, temporary, and excluded from logs.</w:t>
      </w:r>
    </w:p>
    <w:p>
      <w:pPr>
        <w:pStyle w:val="Heading2"/>
      </w:pPr>
      <w:r>
        <w:t>Security and cost controls</w:t>
      </w:r>
    </w:p>
    <w:p>
      <w:r>
        <w:t>PUB04 Validate file size, row and column limits, amount ranges, and content independently of the extension. Escape source text in HTML. Restrict object URLs, block path traversal, protect mutations from cross-site requests, and test CSV formula handling. Do not log raw donor fields, cookies, secrets, or file bodies.</w:t>
      </w:r>
    </w:p>
    <w:p>
      <w:r>
        <w:t>PUB05 Apply configurable per-session and per-IP limits, with initial caps of 5 workspace starts and 10 imports or runs per minute. Limit active work per workspace, retention, and object size. Set hosting spend alerts and a server-side switch to disable new workspaces if abuse or cost becomes material.</w:t>
      </w:r>
    </w:p>
    <w:p>
      <w:pPr>
        <w:pStyle w:val="Heading2"/>
      </w:pPr>
      <w:r>
        <w:t>Performance and accessibility targets</w:t>
      </w:r>
    </w:p>
    <w:p>
      <w:r>
        <w:t>NFR01 On a separate benchmark dataset of 1,000 total rows across three reports, target a warm reconciliation p95 below 5 seconds over 30 runs. Target initial page rendering below 3 seconds when warm and 12 seconds on five independently cold starts. Record browser, region, environment, and sample counts; treat these as release targets, not existing measurements.</w:t>
      </w:r>
    </w:p>
    <w:p>
      <w:r>
        <w:t>NFR02 Use indexed identity lookups and grouped payout queries; avoid one database query per row. Paginate tables at 50 rows by default. Measure memory at the configured maximum dataset and keep it within the deployment allocation.</w:t>
      </w:r>
    </w:p>
    <w:p>
      <w:r>
        <w:t>NFR03 Meet WCAG 2.2 AA as an implementation target. Verify the complete guided journey by keyboard, check accessible names and error announcements, and test at mobile and desktop widths. Automated checks supplement manual interaction review; do not claim certification.</w:t>
      </w:r>
    </w:p>
    <w:p>
      <w:pPr>
        <w:pStyle w:val="Heading2"/>
      </w:pPr>
      <w:r>
        <w:t>Observability</w:t>
      </w:r>
    </w:p>
    <w:p>
      <w:r>
        <w:t>Track run duration, validation failures by code, reconciliation outcomes, export failures, cleanup backlog, and timeouts. Include release version and non-sensitive trace IDs. Publish measured fixture correctness and demo performance in the README. Measure real operational time savings only in a later private evaluation.</w:t>
      </w:r>
    </w:p>
    <w:p>
      <w:r>
        <w:br w:type="page"/>
      </w:r>
    </w:p>
    <w:p>
      <w:pPr>
        <w:pStyle w:val="Heading1"/>
      </w:pPr>
      <w:r>
        <w:t>14 Reference scenario and expected results</w:t>
      </w:r>
    </w:p>
    <w:p>
      <w:r>
        <w:t>Use fixture dates in September 2026, GBP throughout, one complete provider/account scope, and a CRM snapshot generated after all included source events. Donor data uses fabricated identities and example.test addresses. The donation CSV has 13 rows representing 12 gifts: D001 appears twice identically. The CRM file has 8 rows; payouts have 16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792"/>
        <w:gridCol w:w="1008"/>
        <w:gridCol w:w="5688"/>
        <w:gridCol w:w="2592"/>
      </w:tblGrid>
      <w:tr>
        <w:trPr>
          <w:cantSplit/>
          <w:tblHeader/>
        </w:trPr>
        <w:tc>
          <w:tcPr>
            <w:tcW w:type="dxa" w:w="792"/>
            <w:vAlign w:val="center"/>
            <w:shd w:fill="E9EEF3"/>
          </w:tcPr>
          <w:p>
            <w:pPr>
              <w:spacing w:after="0" w:before="0" w:line="245" w:lineRule="auto"/>
            </w:pPr>
            <w:r>
              <w:rPr>
                <w:b/>
                <w:color w:val="000000"/>
                <w:sz w:val="20"/>
              </w:rPr>
              <w:t>Gift</w:t>
            </w:r>
          </w:p>
        </w:tc>
        <w:tc>
          <w:tcPr>
            <w:tcW w:type="dxa" w:w="1008"/>
            <w:vAlign w:val="center"/>
            <w:shd w:fill="E9EEF3"/>
          </w:tcPr>
          <w:p>
            <w:pPr>
              <w:spacing w:after="0" w:before="0" w:line="245" w:lineRule="auto"/>
            </w:pPr>
            <w:r>
              <w:rPr>
                <w:b/>
                <w:color w:val="000000"/>
                <w:sz w:val="20"/>
              </w:rPr>
              <w:t>Gross</w:t>
            </w:r>
          </w:p>
        </w:tc>
        <w:tc>
          <w:tcPr>
            <w:tcW w:type="dxa" w:w="5688"/>
            <w:vAlign w:val="center"/>
            <w:shd w:fill="E9EEF3"/>
          </w:tcPr>
          <w:p>
            <w:pPr>
              <w:spacing w:after="0" w:before="0" w:line="245" w:lineRule="auto"/>
            </w:pPr>
            <w:r>
              <w:rPr>
                <w:b/>
                <w:color w:val="000000"/>
                <w:sz w:val="20"/>
              </w:rPr>
              <w:t>Source and CRM condition</w:t>
            </w:r>
          </w:p>
        </w:tc>
        <w:tc>
          <w:tcPr>
            <w:tcW w:type="dxa" w:w="2592"/>
            <w:vAlign w:val="center"/>
            <w:shd w:fill="E9EEF3"/>
          </w:tcPr>
          <w:p>
            <w:pPr>
              <w:spacing w:after="0" w:before="0" w:line="245" w:lineRule="auto"/>
            </w:pPr>
            <w:r>
              <w:rPr>
                <w:b/>
                <w:color w:val="000000"/>
                <w:sz w:val="20"/>
              </w:rPr>
              <w:t>After guided review</w:t>
            </w:r>
          </w:p>
        </w:tc>
      </w:tr>
      <w:tr>
        <w:trPr>
          <w:cantSplit/>
        </w:trPr>
        <w:tc>
          <w:tcPr>
            <w:tcW w:type="dxa" w:w="792"/>
            <w:vAlign w:val="center"/>
            <w:shd w:fill="FFFFFF"/>
          </w:tcPr>
          <w:p>
            <w:pPr>
              <w:spacing w:after="0" w:before="0" w:line="245" w:lineRule="auto"/>
            </w:pPr>
            <w:r>
              <w:rPr>
                <w:b w:val="0"/>
                <w:color w:val="000000"/>
                <w:sz w:val="20"/>
              </w:rPr>
              <w:t>D001</w:t>
            </w:r>
          </w:p>
        </w:tc>
        <w:tc>
          <w:tcPr>
            <w:tcW w:type="dxa" w:w="1008"/>
            <w:vAlign w:val="center"/>
            <w:shd w:fill="FFFFFF"/>
          </w:tcPr>
          <w:p>
            <w:pPr>
              <w:spacing w:after="0" w:before="0" w:line="245" w:lineRule="auto"/>
            </w:pPr>
            <w:r>
              <w:rPr>
                <w:b w:val="0"/>
                <w:color w:val="000000"/>
                <w:sz w:val="20"/>
              </w:rPr>
              <w:t>100.00</w:t>
            </w:r>
          </w:p>
        </w:tc>
        <w:tc>
          <w:tcPr>
            <w:tcW w:type="dxa" w:w="5688"/>
            <w:vAlign w:val="center"/>
            <w:shd w:fill="FFFFFF"/>
          </w:tcPr>
          <w:p>
            <w:pPr>
              <w:spacing w:after="0" w:before="0" w:line="245" w:lineRule="auto"/>
            </w:pPr>
            <w:r>
              <w:rPr>
                <w:b w:val="0"/>
                <w:color w:val="000000"/>
                <w:sz w:val="20"/>
              </w:rPr>
              <w:t>Paid; exact CRM record; duplicate source row.</w:t>
            </w:r>
          </w:p>
        </w:tc>
        <w:tc>
          <w:tcPr>
            <w:tcW w:type="dxa" w:w="2592"/>
            <w:vAlign w:val="center"/>
            <w:shd w:fill="FFFFFF"/>
          </w:tcPr>
          <w:p>
            <w:pPr>
              <w:spacing w:after="0" w:before="0" w:line="245" w:lineRule="auto"/>
            </w:pPr>
            <w:r>
              <w:rPr>
                <w:b w:val="0"/>
                <w:color w:val="000000"/>
                <w:sz w:val="20"/>
              </w:rPr>
              <w:t>Unchanged</w:t>
            </w:r>
          </w:p>
        </w:tc>
      </w:tr>
      <w:tr>
        <w:trPr>
          <w:cantSplit/>
        </w:trPr>
        <w:tc>
          <w:tcPr>
            <w:tcW w:type="dxa" w:w="792"/>
            <w:vAlign w:val="center"/>
            <w:shd w:fill="FFFFFF"/>
          </w:tcPr>
          <w:p>
            <w:pPr>
              <w:spacing w:after="0" w:before="0" w:line="245" w:lineRule="auto"/>
            </w:pPr>
            <w:r>
              <w:rPr>
                <w:b w:val="0"/>
                <w:color w:val="000000"/>
                <w:sz w:val="20"/>
              </w:rPr>
              <w:t>D002</w:t>
            </w:r>
          </w:p>
        </w:tc>
        <w:tc>
          <w:tcPr>
            <w:tcW w:type="dxa" w:w="1008"/>
            <w:vAlign w:val="center"/>
            <w:shd w:fill="FFFFFF"/>
          </w:tcPr>
          <w:p>
            <w:pPr>
              <w:spacing w:after="0" w:before="0" w:line="245" w:lineRule="auto"/>
            </w:pPr>
            <w:r>
              <w:rPr>
                <w:b w:val="0"/>
                <w:color w:val="000000"/>
                <w:sz w:val="20"/>
              </w:rPr>
              <w:t>250.00</w:t>
            </w:r>
          </w:p>
        </w:tc>
        <w:tc>
          <w:tcPr>
            <w:tcW w:type="dxa" w:w="5688"/>
            <w:vAlign w:val="center"/>
            <w:shd w:fill="FFFFFF"/>
          </w:tcPr>
          <w:p>
            <w:pPr>
              <w:spacing w:after="0" w:before="0" w:line="245" w:lineRule="auto"/>
            </w:pPr>
            <w:r>
              <w:rPr>
                <w:b w:val="0"/>
                <w:color w:val="000000"/>
                <w:sz w:val="20"/>
              </w:rPr>
              <w:t>Paid; anonymous; no CRM record.</w:t>
            </w:r>
          </w:p>
        </w:tc>
        <w:tc>
          <w:tcPr>
            <w:tcW w:type="dxa" w:w="2592"/>
            <w:vAlign w:val="center"/>
            <w:shd w:fill="FFFFFF"/>
          </w:tcPr>
          <w:p>
            <w:pPr>
              <w:spacing w:after="0" w:before="0" w:line="245" w:lineRule="auto"/>
            </w:pPr>
            <w:r>
              <w:rPr>
                <w:b w:val="0"/>
                <w:color w:val="000000"/>
                <w:sz w:val="20"/>
              </w:rPr>
              <w:t>Create</w:t>
            </w:r>
          </w:p>
        </w:tc>
      </w:tr>
      <w:tr>
        <w:trPr>
          <w:cantSplit/>
        </w:trPr>
        <w:tc>
          <w:tcPr>
            <w:tcW w:type="dxa" w:w="792"/>
            <w:vAlign w:val="center"/>
            <w:shd w:fill="FFFFFF"/>
          </w:tcPr>
          <w:p>
            <w:pPr>
              <w:spacing w:after="0" w:before="0" w:line="245" w:lineRule="auto"/>
            </w:pPr>
            <w:r>
              <w:rPr>
                <w:b w:val="0"/>
                <w:color w:val="000000"/>
                <w:sz w:val="20"/>
              </w:rPr>
              <w:t>D003</w:t>
            </w:r>
          </w:p>
        </w:tc>
        <w:tc>
          <w:tcPr>
            <w:tcW w:type="dxa" w:w="1008"/>
            <w:vAlign w:val="center"/>
            <w:shd w:fill="FFFFFF"/>
          </w:tcPr>
          <w:p>
            <w:pPr>
              <w:spacing w:after="0" w:before="0" w:line="245" w:lineRule="auto"/>
            </w:pPr>
            <w:r>
              <w:rPr>
                <w:b w:val="0"/>
                <w:color w:val="000000"/>
                <w:sz w:val="20"/>
              </w:rPr>
              <w:t>75.00</w:t>
            </w:r>
          </w:p>
        </w:tc>
        <w:tc>
          <w:tcPr>
            <w:tcW w:type="dxa" w:w="5688"/>
            <w:vAlign w:val="center"/>
            <w:shd w:fill="FFFFFF"/>
          </w:tcPr>
          <w:p>
            <w:pPr>
              <w:spacing w:after="0" w:before="0" w:line="245" w:lineRule="auto"/>
            </w:pPr>
            <w:r>
              <w:rPr>
                <w:b w:val="0"/>
                <w:color w:val="000000"/>
                <w:sz w:val="20"/>
              </w:rPr>
              <w:t>Paid; CRM gross is 70.00.</w:t>
            </w:r>
          </w:p>
        </w:tc>
        <w:tc>
          <w:tcPr>
            <w:tcW w:type="dxa" w:w="2592"/>
            <w:vAlign w:val="center"/>
            <w:shd w:fill="FFFFFF"/>
          </w:tcPr>
          <w:p>
            <w:pPr>
              <w:spacing w:after="0" w:before="0" w:line="245" w:lineRule="auto"/>
            </w:pPr>
            <w:r>
              <w:rPr>
                <w:b w:val="0"/>
                <w:color w:val="000000"/>
                <w:sz w:val="20"/>
              </w:rPr>
              <w:t>Update gross</w:t>
            </w:r>
          </w:p>
        </w:tc>
      </w:tr>
      <w:tr>
        <w:trPr>
          <w:cantSplit/>
        </w:trPr>
        <w:tc>
          <w:tcPr>
            <w:tcW w:type="dxa" w:w="792"/>
            <w:vAlign w:val="center"/>
            <w:shd w:fill="FFFFFF"/>
          </w:tcPr>
          <w:p>
            <w:pPr>
              <w:spacing w:after="0" w:before="0" w:line="245" w:lineRule="auto"/>
            </w:pPr>
            <w:r>
              <w:rPr>
                <w:b w:val="0"/>
                <w:color w:val="000000"/>
                <w:sz w:val="20"/>
              </w:rPr>
              <w:t>D004</w:t>
            </w:r>
          </w:p>
        </w:tc>
        <w:tc>
          <w:tcPr>
            <w:tcW w:type="dxa" w:w="1008"/>
            <w:vAlign w:val="center"/>
            <w:shd w:fill="FFFFFF"/>
          </w:tcPr>
          <w:p>
            <w:pPr>
              <w:spacing w:after="0" w:before="0" w:line="245" w:lineRule="auto"/>
            </w:pPr>
            <w:r>
              <w:rPr>
                <w:b w:val="0"/>
                <w:color w:val="000000"/>
                <w:sz w:val="20"/>
              </w:rPr>
              <w:t>60.00</w:t>
            </w:r>
          </w:p>
        </w:tc>
        <w:tc>
          <w:tcPr>
            <w:tcW w:type="dxa" w:w="5688"/>
            <w:vAlign w:val="center"/>
            <w:shd w:fill="FFFFFF"/>
          </w:tcPr>
          <w:p>
            <w:pPr>
              <w:spacing w:after="0" w:before="0" w:line="245" w:lineRule="auto"/>
            </w:pPr>
            <w:r>
              <w:rPr>
                <w:b w:val="0"/>
                <w:color w:val="000000"/>
                <w:sz w:val="20"/>
              </w:rPr>
              <w:t>Pending; no payout or CRM record.</w:t>
            </w:r>
          </w:p>
        </w:tc>
        <w:tc>
          <w:tcPr>
            <w:tcW w:type="dxa" w:w="2592"/>
            <w:vAlign w:val="center"/>
            <w:shd w:fill="FFFFFF"/>
          </w:tcPr>
          <w:p>
            <w:pPr>
              <w:spacing w:after="0" w:before="0" w:line="245" w:lineRule="auto"/>
            </w:pPr>
            <w:r>
              <w:rPr>
                <w:b w:val="0"/>
                <w:color w:val="000000"/>
                <w:sz w:val="20"/>
              </w:rPr>
              <w:t>Held</w:t>
            </w:r>
          </w:p>
        </w:tc>
      </w:tr>
      <w:tr>
        <w:trPr>
          <w:cantSplit/>
        </w:trPr>
        <w:tc>
          <w:tcPr>
            <w:tcW w:type="dxa" w:w="792"/>
            <w:vAlign w:val="center"/>
            <w:shd w:fill="FFFFFF"/>
          </w:tcPr>
          <w:p>
            <w:pPr>
              <w:spacing w:after="0" w:before="0" w:line="245" w:lineRule="auto"/>
            </w:pPr>
            <w:r>
              <w:rPr>
                <w:b w:val="0"/>
                <w:color w:val="000000"/>
                <w:sz w:val="20"/>
              </w:rPr>
              <w:t>D005</w:t>
            </w:r>
          </w:p>
        </w:tc>
        <w:tc>
          <w:tcPr>
            <w:tcW w:type="dxa" w:w="1008"/>
            <w:vAlign w:val="center"/>
            <w:shd w:fill="FFFFFF"/>
          </w:tcPr>
          <w:p>
            <w:pPr>
              <w:spacing w:after="0" w:before="0" w:line="245" w:lineRule="auto"/>
            </w:pPr>
            <w:r>
              <w:rPr>
                <w:b w:val="0"/>
                <w:color w:val="000000"/>
                <w:sz w:val="20"/>
              </w:rPr>
              <w:t>40.00</w:t>
            </w:r>
          </w:p>
        </w:tc>
        <w:tc>
          <w:tcPr>
            <w:tcW w:type="dxa" w:w="5688"/>
            <w:vAlign w:val="center"/>
            <w:shd w:fill="FFFFFF"/>
          </w:tcPr>
          <w:p>
            <w:pPr>
              <w:spacing w:after="0" w:before="0" w:line="245" w:lineRule="auto"/>
            </w:pPr>
            <w:r>
              <w:rPr>
                <w:b w:val="0"/>
                <w:color w:val="000000"/>
                <w:sz w:val="20"/>
              </w:rPr>
              <w:t>Paid; two CRM rows share its key.</w:t>
            </w:r>
          </w:p>
        </w:tc>
        <w:tc>
          <w:tcPr>
            <w:tcW w:type="dxa" w:w="2592"/>
            <w:vAlign w:val="center"/>
            <w:shd w:fill="FFFFFF"/>
          </w:tcPr>
          <w:p>
            <w:pPr>
              <w:spacing w:after="0" w:before="0" w:line="245" w:lineRule="auto"/>
            </w:pPr>
            <w:r>
              <w:rPr>
                <w:b w:val="0"/>
                <w:color w:val="000000"/>
                <w:sz w:val="20"/>
              </w:rPr>
              <w:t>Held</w:t>
            </w:r>
          </w:p>
        </w:tc>
      </w:tr>
      <w:tr>
        <w:trPr>
          <w:cantSplit/>
        </w:trPr>
        <w:tc>
          <w:tcPr>
            <w:tcW w:type="dxa" w:w="792"/>
            <w:vAlign w:val="center"/>
            <w:shd w:fill="FFFFFF"/>
          </w:tcPr>
          <w:p>
            <w:pPr>
              <w:spacing w:after="0" w:before="0" w:line="245" w:lineRule="auto"/>
            </w:pPr>
            <w:r>
              <w:rPr>
                <w:b w:val="0"/>
                <w:color w:val="000000"/>
                <w:sz w:val="20"/>
              </w:rPr>
              <w:t>D006</w:t>
            </w:r>
          </w:p>
        </w:tc>
        <w:tc>
          <w:tcPr>
            <w:tcW w:type="dxa" w:w="1008"/>
            <w:vAlign w:val="center"/>
            <w:shd w:fill="FFFFFF"/>
          </w:tcPr>
          <w:p>
            <w:pPr>
              <w:spacing w:after="0" w:before="0" w:line="245" w:lineRule="auto"/>
            </w:pPr>
            <w:r>
              <w:rPr>
                <w:b w:val="0"/>
                <w:color w:val="000000"/>
                <w:sz w:val="20"/>
              </w:rPr>
              <w:t>120.00</w:t>
            </w:r>
          </w:p>
        </w:tc>
        <w:tc>
          <w:tcPr>
            <w:tcW w:type="dxa" w:w="5688"/>
            <w:vAlign w:val="center"/>
            <w:shd w:fill="FFFFFF"/>
          </w:tcPr>
          <w:p>
            <w:pPr>
              <w:spacing w:after="0" w:before="0" w:line="245" w:lineRule="auto"/>
            </w:pPr>
            <w:r>
              <w:rPr>
                <w:b w:val="0"/>
                <w:color w:val="000000"/>
                <w:sz w:val="20"/>
              </w:rPr>
              <w:t>Paid; new gift with unmapped campaign.</w:t>
            </w:r>
          </w:p>
        </w:tc>
        <w:tc>
          <w:tcPr>
            <w:tcW w:type="dxa" w:w="2592"/>
            <w:vAlign w:val="center"/>
            <w:shd w:fill="FFFFFF"/>
          </w:tcPr>
          <w:p>
            <w:pPr>
              <w:spacing w:after="0" w:before="0" w:line="245" w:lineRule="auto"/>
            </w:pPr>
            <w:r>
              <w:rPr>
                <w:b w:val="0"/>
                <w:color w:val="000000"/>
                <w:sz w:val="20"/>
              </w:rPr>
              <w:t>Create after mapping</w:t>
            </w:r>
          </w:p>
        </w:tc>
      </w:tr>
      <w:tr>
        <w:trPr>
          <w:cantSplit/>
        </w:trPr>
        <w:tc>
          <w:tcPr>
            <w:tcW w:type="dxa" w:w="792"/>
            <w:vAlign w:val="center"/>
            <w:shd w:fill="FFFFFF"/>
          </w:tcPr>
          <w:p>
            <w:pPr>
              <w:spacing w:after="0" w:before="0" w:line="245" w:lineRule="auto"/>
            </w:pPr>
            <w:r>
              <w:rPr>
                <w:b w:val="0"/>
                <w:color w:val="000000"/>
                <w:sz w:val="20"/>
              </w:rPr>
              <w:t>D007</w:t>
            </w:r>
          </w:p>
        </w:tc>
        <w:tc>
          <w:tcPr>
            <w:tcW w:type="dxa" w:w="1008"/>
            <w:vAlign w:val="center"/>
            <w:shd w:fill="FFFFFF"/>
          </w:tcPr>
          <w:p>
            <w:pPr>
              <w:spacing w:after="0" w:before="0" w:line="245" w:lineRule="auto"/>
            </w:pPr>
            <w:r>
              <w:rPr>
                <w:b w:val="0"/>
                <w:color w:val="000000"/>
                <w:sz w:val="20"/>
              </w:rPr>
              <w:t>90.00</w:t>
            </w:r>
          </w:p>
        </w:tc>
        <w:tc>
          <w:tcPr>
            <w:tcW w:type="dxa" w:w="5688"/>
            <w:vAlign w:val="center"/>
            <w:shd w:fill="FFFFFF"/>
          </w:tcPr>
          <w:p>
            <w:pPr>
              <w:spacing w:after="0" w:before="0" w:line="245" w:lineRule="auto"/>
            </w:pPr>
            <w:r>
              <w:rPr>
                <w:b w:val="0"/>
                <w:color w:val="000000"/>
                <w:sz w:val="20"/>
              </w:rPr>
              <w:t>Paid; candidate CRM row lacks identifiers.</w:t>
            </w:r>
          </w:p>
        </w:tc>
        <w:tc>
          <w:tcPr>
            <w:tcW w:type="dxa" w:w="2592"/>
            <w:vAlign w:val="center"/>
            <w:shd w:fill="FFFFFF"/>
          </w:tcPr>
          <w:p>
            <w:pPr>
              <w:spacing w:after="0" w:before="0" w:line="245" w:lineRule="auto"/>
            </w:pPr>
            <w:r>
              <w:rPr>
                <w:b w:val="0"/>
                <w:color w:val="000000"/>
                <w:sz w:val="20"/>
              </w:rPr>
              <w:t>Update after match</w:t>
            </w:r>
          </w:p>
        </w:tc>
      </w:tr>
      <w:tr>
        <w:trPr>
          <w:cantSplit/>
        </w:trPr>
        <w:tc>
          <w:tcPr>
            <w:tcW w:type="dxa" w:w="792"/>
            <w:vAlign w:val="center"/>
            <w:shd w:fill="FFFFFF"/>
          </w:tcPr>
          <w:p>
            <w:pPr>
              <w:spacing w:after="0" w:before="0" w:line="245" w:lineRule="auto"/>
            </w:pPr>
            <w:r>
              <w:rPr>
                <w:b w:val="0"/>
                <w:color w:val="000000"/>
                <w:sz w:val="20"/>
              </w:rPr>
              <w:t>D008</w:t>
            </w:r>
          </w:p>
        </w:tc>
        <w:tc>
          <w:tcPr>
            <w:tcW w:type="dxa" w:w="1008"/>
            <w:vAlign w:val="center"/>
            <w:shd w:fill="FFFFFF"/>
          </w:tcPr>
          <w:p>
            <w:pPr>
              <w:spacing w:after="0" w:before="0" w:line="245" w:lineRule="auto"/>
            </w:pPr>
            <w:r>
              <w:rPr>
                <w:b w:val="0"/>
                <w:color w:val="000000"/>
                <w:sz w:val="20"/>
              </w:rPr>
              <w:t>200.00</w:t>
            </w:r>
          </w:p>
        </w:tc>
        <w:tc>
          <w:tcPr>
            <w:tcW w:type="dxa" w:w="5688"/>
            <w:vAlign w:val="center"/>
            <w:shd w:fill="FFFFFF"/>
          </w:tcPr>
          <w:p>
            <w:pPr>
              <w:spacing w:after="0" w:before="0" w:line="245" w:lineRule="auto"/>
            </w:pPr>
            <w:r>
              <w:rPr>
                <w:b w:val="0"/>
                <w:color w:val="000000"/>
                <w:sz w:val="20"/>
              </w:rPr>
              <w:t>Partial refund 50.00; CRM refund is zero.</w:t>
            </w:r>
          </w:p>
        </w:tc>
        <w:tc>
          <w:tcPr>
            <w:tcW w:type="dxa" w:w="2592"/>
            <w:vAlign w:val="center"/>
            <w:shd w:fill="FFFFFF"/>
          </w:tcPr>
          <w:p>
            <w:pPr>
              <w:spacing w:after="0" w:before="0" w:line="245" w:lineRule="auto"/>
            </w:pPr>
            <w:r>
              <w:rPr>
                <w:b w:val="0"/>
                <w:color w:val="000000"/>
                <w:sz w:val="20"/>
              </w:rPr>
              <w:t>Update refund and status</w:t>
            </w:r>
          </w:p>
        </w:tc>
      </w:tr>
      <w:tr>
        <w:trPr>
          <w:cantSplit/>
        </w:trPr>
        <w:tc>
          <w:tcPr>
            <w:tcW w:type="dxa" w:w="792"/>
            <w:vAlign w:val="center"/>
            <w:shd w:fill="FFFFFF"/>
          </w:tcPr>
          <w:p>
            <w:pPr>
              <w:spacing w:after="0" w:before="0" w:line="245" w:lineRule="auto"/>
            </w:pPr>
            <w:r>
              <w:rPr>
                <w:b w:val="0"/>
                <w:color w:val="000000"/>
                <w:sz w:val="20"/>
              </w:rPr>
              <w:t>D009</w:t>
            </w:r>
          </w:p>
        </w:tc>
        <w:tc>
          <w:tcPr>
            <w:tcW w:type="dxa" w:w="1008"/>
            <w:vAlign w:val="center"/>
            <w:shd w:fill="FFFFFF"/>
          </w:tcPr>
          <w:p>
            <w:pPr>
              <w:spacing w:after="0" w:before="0" w:line="245" w:lineRule="auto"/>
            </w:pPr>
            <w:r>
              <w:rPr>
                <w:b w:val="0"/>
                <w:color w:val="000000"/>
                <w:sz w:val="20"/>
              </w:rPr>
              <w:t>35.00</w:t>
            </w:r>
          </w:p>
        </w:tc>
        <w:tc>
          <w:tcPr>
            <w:tcW w:type="dxa" w:w="5688"/>
            <w:vAlign w:val="center"/>
            <w:shd w:fill="FFFFFF"/>
          </w:tcPr>
          <w:p>
            <w:pPr>
              <w:spacing w:after="0" w:before="0" w:line="245" w:lineRule="auto"/>
            </w:pPr>
            <w:r>
              <w:rPr>
                <w:b w:val="0"/>
                <w:color w:val="000000"/>
                <w:sz w:val="20"/>
              </w:rPr>
              <w:t>Paid; exact CRM record and fields.</w:t>
            </w:r>
          </w:p>
        </w:tc>
        <w:tc>
          <w:tcPr>
            <w:tcW w:type="dxa" w:w="2592"/>
            <w:vAlign w:val="center"/>
            <w:shd w:fill="FFFFFF"/>
          </w:tcPr>
          <w:p>
            <w:pPr>
              <w:spacing w:after="0" w:before="0" w:line="245" w:lineRule="auto"/>
            </w:pPr>
            <w:r>
              <w:rPr>
                <w:b w:val="0"/>
                <w:color w:val="000000"/>
                <w:sz w:val="20"/>
              </w:rPr>
              <w:t>Unchanged</w:t>
            </w:r>
          </w:p>
        </w:tc>
      </w:tr>
      <w:tr>
        <w:trPr>
          <w:cantSplit/>
        </w:trPr>
        <w:tc>
          <w:tcPr>
            <w:tcW w:type="dxa" w:w="792"/>
            <w:vAlign w:val="center"/>
            <w:shd w:fill="FFFFFF"/>
          </w:tcPr>
          <w:p>
            <w:pPr>
              <w:spacing w:after="0" w:before="0" w:line="245" w:lineRule="auto"/>
            </w:pPr>
            <w:r>
              <w:rPr>
                <w:b w:val="0"/>
                <w:color w:val="000000"/>
                <w:sz w:val="20"/>
              </w:rPr>
              <w:t>D010</w:t>
            </w:r>
          </w:p>
        </w:tc>
        <w:tc>
          <w:tcPr>
            <w:tcW w:type="dxa" w:w="1008"/>
            <w:vAlign w:val="center"/>
            <w:shd w:fill="FFFFFF"/>
          </w:tcPr>
          <w:p>
            <w:pPr>
              <w:spacing w:after="0" w:before="0" w:line="245" w:lineRule="auto"/>
            </w:pPr>
            <w:r>
              <w:rPr>
                <w:b w:val="0"/>
                <w:color w:val="000000"/>
                <w:sz w:val="20"/>
              </w:rPr>
              <w:t>80.00</w:t>
            </w:r>
          </w:p>
        </w:tc>
        <w:tc>
          <w:tcPr>
            <w:tcW w:type="dxa" w:w="5688"/>
            <w:vAlign w:val="center"/>
            <w:shd w:fill="FFFFFF"/>
          </w:tcPr>
          <w:p>
            <w:pPr>
              <w:spacing w:after="0" w:before="0" w:line="245" w:lineRule="auto"/>
            </w:pPr>
            <w:r>
              <w:rPr>
                <w:b w:val="0"/>
                <w:color w:val="000000"/>
                <w:sz w:val="20"/>
              </w:rPr>
              <w:t>Full refund 80.00; CRM refund is zero.</w:t>
            </w:r>
          </w:p>
        </w:tc>
        <w:tc>
          <w:tcPr>
            <w:tcW w:type="dxa" w:w="2592"/>
            <w:vAlign w:val="center"/>
            <w:shd w:fill="FFFFFF"/>
          </w:tcPr>
          <w:p>
            <w:pPr>
              <w:spacing w:after="0" w:before="0" w:line="245" w:lineRule="auto"/>
            </w:pPr>
            <w:r>
              <w:rPr>
                <w:b w:val="0"/>
                <w:color w:val="000000"/>
                <w:sz w:val="20"/>
              </w:rPr>
              <w:t>Update refund and status</w:t>
            </w:r>
          </w:p>
        </w:tc>
      </w:tr>
      <w:tr>
        <w:trPr>
          <w:cantSplit/>
        </w:trPr>
        <w:tc>
          <w:tcPr>
            <w:tcW w:type="dxa" w:w="792"/>
            <w:vAlign w:val="center"/>
            <w:shd w:fill="FFFFFF"/>
          </w:tcPr>
          <w:p>
            <w:pPr>
              <w:spacing w:after="0" w:before="0" w:line="245" w:lineRule="auto"/>
            </w:pPr>
            <w:r>
              <w:rPr>
                <w:b w:val="0"/>
                <w:color w:val="000000"/>
                <w:sz w:val="20"/>
              </w:rPr>
              <w:t>D011</w:t>
            </w:r>
          </w:p>
        </w:tc>
        <w:tc>
          <w:tcPr>
            <w:tcW w:type="dxa" w:w="1008"/>
            <w:vAlign w:val="center"/>
            <w:shd w:fill="FFFFFF"/>
          </w:tcPr>
          <w:p>
            <w:pPr>
              <w:spacing w:after="0" w:before="0" w:line="245" w:lineRule="auto"/>
            </w:pPr>
            <w:r>
              <w:rPr>
                <w:b w:val="0"/>
                <w:color w:val="000000"/>
                <w:sz w:val="20"/>
              </w:rPr>
              <w:t>55.00</w:t>
            </w:r>
          </w:p>
        </w:tc>
        <w:tc>
          <w:tcPr>
            <w:tcW w:type="dxa" w:w="5688"/>
            <w:vAlign w:val="center"/>
            <w:shd w:fill="FFFFFF"/>
          </w:tcPr>
          <w:p>
            <w:pPr>
              <w:spacing w:after="0" w:before="0" w:line="245" w:lineRule="auto"/>
            </w:pPr>
            <w:r>
              <w:rPr>
                <w:b w:val="0"/>
                <w:color w:val="000000"/>
                <w:sz w:val="20"/>
              </w:rPr>
              <w:t>Paid; payout components disagree with total.</w:t>
            </w:r>
          </w:p>
        </w:tc>
        <w:tc>
          <w:tcPr>
            <w:tcW w:type="dxa" w:w="2592"/>
            <w:vAlign w:val="center"/>
            <w:shd w:fill="FFFFFF"/>
          </w:tcPr>
          <w:p>
            <w:pPr>
              <w:spacing w:after="0" w:before="0" w:line="245" w:lineRule="auto"/>
            </w:pPr>
            <w:r>
              <w:rPr>
                <w:b w:val="0"/>
                <w:color w:val="000000"/>
                <w:sz w:val="20"/>
              </w:rPr>
              <w:t>Held</w:t>
            </w:r>
          </w:p>
        </w:tc>
      </w:tr>
      <w:tr>
        <w:trPr>
          <w:cantSplit/>
        </w:trPr>
        <w:tc>
          <w:tcPr>
            <w:tcW w:type="dxa" w:w="792"/>
            <w:vAlign w:val="center"/>
            <w:shd w:fill="FFFFFF"/>
          </w:tcPr>
          <w:p>
            <w:pPr>
              <w:spacing w:after="0" w:before="0" w:line="245" w:lineRule="auto"/>
            </w:pPr>
            <w:r>
              <w:rPr>
                <w:b w:val="0"/>
                <w:color w:val="000000"/>
                <w:sz w:val="20"/>
              </w:rPr>
              <w:t>D012</w:t>
            </w:r>
          </w:p>
        </w:tc>
        <w:tc>
          <w:tcPr>
            <w:tcW w:type="dxa" w:w="1008"/>
            <w:vAlign w:val="center"/>
            <w:shd w:fill="FFFFFF"/>
          </w:tcPr>
          <w:p>
            <w:pPr>
              <w:spacing w:after="0" w:before="0" w:line="245" w:lineRule="auto"/>
            </w:pPr>
            <w:r>
              <w:rPr>
                <w:b w:val="0"/>
                <w:color w:val="000000"/>
                <w:sz w:val="20"/>
              </w:rPr>
              <w:t>25.00</w:t>
            </w:r>
          </w:p>
        </w:tc>
        <w:tc>
          <w:tcPr>
            <w:tcW w:type="dxa" w:w="5688"/>
            <w:vAlign w:val="center"/>
            <w:shd w:fill="FFFFFF"/>
          </w:tcPr>
          <w:p>
            <w:pPr>
              <w:spacing w:after="0" w:before="0" w:line="245" w:lineRule="auto"/>
            </w:pPr>
            <w:r>
              <w:rPr>
                <w:b w:val="0"/>
                <w:color w:val="000000"/>
                <w:sz w:val="20"/>
              </w:rPr>
              <w:t>Paid; linked payout still pending.</w:t>
            </w:r>
          </w:p>
        </w:tc>
        <w:tc>
          <w:tcPr>
            <w:tcW w:type="dxa" w:w="2592"/>
            <w:vAlign w:val="center"/>
            <w:shd w:fill="FFFFFF"/>
          </w:tcPr>
          <w:p>
            <w:pPr>
              <w:spacing w:after="0" w:before="0" w:line="245" w:lineRule="auto"/>
            </w:pPr>
            <w:r>
              <w:rPr>
                <w:b w:val="0"/>
                <w:color w:val="000000"/>
                <w:sz w:val="20"/>
              </w:rPr>
              <w:t>Held</w:t>
            </w:r>
          </w:p>
        </w:tc>
      </w:tr>
    </w:tbl>
    <w:p>
      <w:pPr>
        <w:spacing w:after="20"/>
      </w:pPr>
    </w:p>
    <w:p>
      <w:pPr>
        <w:pStyle w:val="Heading2"/>
      </w:pPr>
      <w:r>
        <w:t>Payout arithmetic</w:t>
      </w:r>
    </w:p>
    <w:p>
      <w:r>
        <w:t>P001 contains nine gift credits: D001, D002, D003, D005, D006, D007, D008, D009, and D010. Credits total 990.00. One fee component is -20.00; refunds are -50.00 and -80.00. Its 12 components total 840.00, matching its reported total of 840.00. Status: sent.</w:t>
      </w:r>
    </w:p>
    <w:p>
      <w:r>
        <w:t>P002 has D011 credit 55.00 and fee -2.00. Its two components total 53.00 against a reported 50.00, a +3.00 difference. Status: sent. P003 has D012 credit 25.00 and fee -1.00; its two components match 24.00, but status is pending.</w:t>
      </w:r>
    </w:p>
    <w:p>
      <w:pPr>
        <w:pStyle w:val="Heading2"/>
      </w:pPr>
      <w:r>
        <w:t>Golden output</w:t>
      </w:r>
    </w:p>
    <w:p>
      <w:r>
        <w:t>The guided actions map D006’s campaign, confirm D007’s candidate, and approve the six eligible changes. Expected output: 2 creates, 4 updates, 2 unchanged gifts, and 4 held gifts. Original unique gross gifts total 1,130.00; cumulative returned amounts total 130.00. These are separate measures, not recovered revenue.</w:t>
      </w:r>
    </w:p>
    <w:p>
      <w:r>
        <w:t>The post-import CRM fixture has 10 rows. It adds D002 and D006 and applies the four updates, retaining the two conflicting D005 rows. Rechecking confirms all six exported actions. A new run produces 0 creates, 0 updates, 8 unchanged gifts, and the same 4 held gifts.</w:t>
      </w:r>
    </w:p>
    <w:p>
      <w:r>
        <w:br w:type="page"/>
      </w:r>
    </w:p>
    <w:p>
      <w:pPr>
        <w:pStyle w:val="Heading1"/>
      </w:pPr>
      <w:r>
        <w:t>15 Acceptance tests and release gates</w:t>
      </w:r>
    </w:p>
    <w:p>
      <w:r>
        <w:t>All tests below are required. Store fixture files and independently reviewed expected outputs in version control. Expected results must not be generated by the reconciliation engine being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864"/>
        <w:gridCol w:w="2664"/>
        <w:gridCol w:w="6552"/>
      </w:tblGrid>
      <w:tr>
        <w:trPr>
          <w:cantSplit/>
          <w:tblHeader/>
        </w:trPr>
        <w:tc>
          <w:tcPr>
            <w:tcW w:type="dxa" w:w="864"/>
            <w:vAlign w:val="center"/>
            <w:shd w:fill="E9EEF3"/>
          </w:tcPr>
          <w:p>
            <w:pPr>
              <w:spacing w:after="0" w:before="0" w:line="245" w:lineRule="auto"/>
            </w:pPr>
            <w:r>
              <w:rPr>
                <w:b/>
                <w:color w:val="000000"/>
                <w:sz w:val="20"/>
              </w:rPr>
              <w:t>ID</w:t>
            </w:r>
          </w:p>
        </w:tc>
        <w:tc>
          <w:tcPr>
            <w:tcW w:type="dxa" w:w="2664"/>
            <w:vAlign w:val="center"/>
            <w:shd w:fill="E9EEF3"/>
          </w:tcPr>
          <w:p>
            <w:pPr>
              <w:spacing w:after="0" w:before="0" w:line="245" w:lineRule="auto"/>
            </w:pPr>
            <w:r>
              <w:rPr>
                <w:b/>
                <w:color w:val="000000"/>
                <w:sz w:val="20"/>
              </w:rPr>
              <w:t>Test</w:t>
            </w:r>
          </w:p>
        </w:tc>
        <w:tc>
          <w:tcPr>
            <w:tcW w:type="dxa" w:w="6552"/>
            <w:vAlign w:val="center"/>
            <w:shd w:fill="E9EEF3"/>
          </w:tcPr>
          <w:p>
            <w:pPr>
              <w:spacing w:after="0" w:before="0" w:line="245" w:lineRule="auto"/>
            </w:pPr>
            <w:r>
              <w:rPr>
                <w:b/>
                <w:color w:val="000000"/>
                <w:sz w:val="20"/>
              </w:rPr>
              <w:t>Passing result</w:t>
            </w:r>
          </w:p>
        </w:tc>
      </w:tr>
      <w:tr>
        <w:trPr>
          <w:cantSplit/>
        </w:trPr>
        <w:tc>
          <w:tcPr>
            <w:tcW w:type="dxa" w:w="864"/>
            <w:vAlign w:val="center"/>
            <w:shd w:fill="FFFFFF"/>
          </w:tcPr>
          <w:p>
            <w:pPr>
              <w:spacing w:after="0" w:before="0" w:line="245" w:lineRule="auto"/>
            </w:pPr>
            <w:r>
              <w:rPr>
                <w:b w:val="0"/>
                <w:color w:val="000000"/>
                <w:sz w:val="20"/>
              </w:rPr>
              <w:t>AT01</w:t>
            </w:r>
          </w:p>
        </w:tc>
        <w:tc>
          <w:tcPr>
            <w:tcW w:type="dxa" w:w="2664"/>
            <w:vAlign w:val="center"/>
            <w:shd w:fill="FFFFFF"/>
          </w:tcPr>
          <w:p>
            <w:pPr>
              <w:spacing w:after="0" w:before="0" w:line="245" w:lineRule="auto"/>
            </w:pPr>
            <w:r>
              <w:rPr>
                <w:b w:val="0"/>
                <w:color w:val="000000"/>
                <w:sz w:val="20"/>
              </w:rPr>
              <w:t>Reference scenario</w:t>
            </w:r>
          </w:p>
        </w:tc>
        <w:tc>
          <w:tcPr>
            <w:tcW w:type="dxa" w:w="6552"/>
            <w:vAlign w:val="center"/>
            <w:shd w:fill="FFFFFF"/>
          </w:tcPr>
          <w:p>
            <w:pPr>
              <w:spacing w:after="0" w:before="0" w:line="245" w:lineRule="auto"/>
            </w:pPr>
            <w:r>
              <w:rPr>
                <w:b w:val="0"/>
                <w:color w:val="000000"/>
                <w:sz w:val="20"/>
              </w:rPr>
              <w:t>Exactly 12 logical gifts; the arithmetic and final 2/4/2/4 outcomes on page 15 match.</w:t>
            </w:r>
          </w:p>
        </w:tc>
      </w:tr>
      <w:tr>
        <w:trPr>
          <w:cantSplit/>
        </w:trPr>
        <w:tc>
          <w:tcPr>
            <w:tcW w:type="dxa" w:w="864"/>
            <w:vAlign w:val="center"/>
            <w:shd w:fill="FFFFFF"/>
          </w:tcPr>
          <w:p>
            <w:pPr>
              <w:spacing w:after="0" w:before="0" w:line="245" w:lineRule="auto"/>
            </w:pPr>
            <w:r>
              <w:rPr>
                <w:b w:val="0"/>
                <w:color w:val="000000"/>
                <w:sz w:val="20"/>
              </w:rPr>
              <w:t>AT02</w:t>
            </w:r>
          </w:p>
        </w:tc>
        <w:tc>
          <w:tcPr>
            <w:tcW w:type="dxa" w:w="2664"/>
            <w:vAlign w:val="center"/>
            <w:shd w:fill="FFFFFF"/>
          </w:tcPr>
          <w:p>
            <w:pPr>
              <w:spacing w:after="0" w:before="0" w:line="245" w:lineRule="auto"/>
            </w:pPr>
            <w:r>
              <w:rPr>
                <w:b w:val="0"/>
                <w:color w:val="000000"/>
                <w:sz w:val="20"/>
              </w:rPr>
              <w:t>Repeat and overlapping imports</w:t>
            </w:r>
          </w:p>
        </w:tc>
        <w:tc>
          <w:tcPr>
            <w:tcW w:type="dxa" w:w="6552"/>
            <w:vAlign w:val="center"/>
            <w:shd w:fill="FFFFFF"/>
          </w:tcPr>
          <w:p>
            <w:pPr>
              <w:spacing w:after="0" w:before="0" w:line="245" w:lineRule="auto"/>
            </w:pPr>
            <w:r>
              <w:rPr>
                <w:b w:val="0"/>
                <w:color w:val="000000"/>
                <w:sz w:val="20"/>
              </w:rPr>
              <w:t>No extra logical gifts, settlement components, or export actions; source occurrences remain traceable.</w:t>
            </w:r>
          </w:p>
        </w:tc>
      </w:tr>
      <w:tr>
        <w:trPr>
          <w:cantSplit/>
        </w:trPr>
        <w:tc>
          <w:tcPr>
            <w:tcW w:type="dxa" w:w="864"/>
            <w:vAlign w:val="center"/>
            <w:shd w:fill="FFFFFF"/>
          </w:tcPr>
          <w:p>
            <w:pPr>
              <w:spacing w:after="0" w:before="0" w:line="245" w:lineRule="auto"/>
            </w:pPr>
            <w:r>
              <w:rPr>
                <w:b w:val="0"/>
                <w:color w:val="000000"/>
                <w:sz w:val="20"/>
              </w:rPr>
              <w:t>AT03</w:t>
            </w:r>
          </w:p>
        </w:tc>
        <w:tc>
          <w:tcPr>
            <w:tcW w:type="dxa" w:w="2664"/>
            <w:vAlign w:val="center"/>
            <w:shd w:fill="FFFFFF"/>
          </w:tcPr>
          <w:p>
            <w:pPr>
              <w:spacing w:after="0" w:before="0" w:line="245" w:lineRule="auto"/>
            </w:pPr>
            <w:r>
              <w:rPr>
                <w:b w:val="0"/>
                <w:color w:val="000000"/>
                <w:sz w:val="20"/>
              </w:rPr>
              <w:t>Revision ordering and conflict</w:t>
            </w:r>
          </w:p>
        </w:tc>
        <w:tc>
          <w:tcPr>
            <w:tcW w:type="dxa" w:w="6552"/>
            <w:vAlign w:val="center"/>
            <w:shd w:fill="FFFFFF"/>
          </w:tcPr>
          <w:p>
            <w:pPr>
              <w:spacing w:after="0" w:before="0" w:line="245" w:lineRule="auto"/>
            </w:pPr>
            <w:r>
              <w:rPr>
                <w:b w:val="0"/>
                <w:color w:val="000000"/>
                <w:sz w:val="20"/>
              </w:rPr>
              <w:t>A stale upload cannot replace newer data; differing values at one revision time are held.</w:t>
            </w:r>
          </w:p>
        </w:tc>
      </w:tr>
      <w:tr>
        <w:trPr>
          <w:cantSplit/>
        </w:trPr>
        <w:tc>
          <w:tcPr>
            <w:tcW w:type="dxa" w:w="864"/>
            <w:vAlign w:val="center"/>
            <w:shd w:fill="FFFFFF"/>
          </w:tcPr>
          <w:p>
            <w:pPr>
              <w:spacing w:after="0" w:before="0" w:line="245" w:lineRule="auto"/>
            </w:pPr>
            <w:r>
              <w:rPr>
                <w:b w:val="0"/>
                <w:color w:val="000000"/>
                <w:sz w:val="20"/>
              </w:rPr>
              <w:t>AT04</w:t>
            </w:r>
          </w:p>
        </w:tc>
        <w:tc>
          <w:tcPr>
            <w:tcW w:type="dxa" w:w="2664"/>
            <w:vAlign w:val="center"/>
            <w:shd w:fill="FFFFFF"/>
          </w:tcPr>
          <w:p>
            <w:pPr>
              <w:spacing w:after="0" w:before="0" w:line="245" w:lineRule="auto"/>
            </w:pPr>
            <w:r>
              <w:rPr>
                <w:b w:val="0"/>
                <w:color w:val="000000"/>
                <w:sz w:val="20"/>
              </w:rPr>
              <w:t>Missing payout component</w:t>
            </w:r>
          </w:p>
        </w:tc>
        <w:tc>
          <w:tcPr>
            <w:tcW w:type="dxa" w:w="6552"/>
            <w:vAlign w:val="center"/>
            <w:shd w:fill="FFFFFF"/>
          </w:tcPr>
          <w:p>
            <w:pPr>
              <w:spacing w:after="0" w:before="0" w:line="245" w:lineRule="auto"/>
            </w:pPr>
            <w:r>
              <w:rPr>
                <w:b w:val="0"/>
                <w:color w:val="000000"/>
                <w:sz w:val="20"/>
              </w:rPr>
              <w:t>Removing one component while retaining its declared count yields incomplete, not balanced.</w:t>
            </w:r>
          </w:p>
        </w:tc>
      </w:tr>
      <w:tr>
        <w:trPr>
          <w:cantSplit/>
        </w:trPr>
        <w:tc>
          <w:tcPr>
            <w:tcW w:type="dxa" w:w="864"/>
            <w:vAlign w:val="center"/>
            <w:shd w:fill="FFFFFF"/>
          </w:tcPr>
          <w:p>
            <w:pPr>
              <w:spacing w:after="0" w:before="0" w:line="245" w:lineRule="auto"/>
            </w:pPr>
            <w:r>
              <w:rPr>
                <w:b w:val="0"/>
                <w:color w:val="000000"/>
                <w:sz w:val="20"/>
              </w:rPr>
              <w:t>AT05</w:t>
            </w:r>
          </w:p>
        </w:tc>
        <w:tc>
          <w:tcPr>
            <w:tcW w:type="dxa" w:w="2664"/>
            <w:vAlign w:val="center"/>
            <w:shd w:fill="FFFFFF"/>
          </w:tcPr>
          <w:p>
            <w:pPr>
              <w:spacing w:after="0" w:before="0" w:line="245" w:lineRule="auto"/>
            </w:pPr>
            <w:r>
              <w:rPr>
                <w:b w:val="0"/>
                <w:color w:val="000000"/>
                <w:sz w:val="20"/>
              </w:rPr>
              <w:t>Split payouts and refunds</w:t>
            </w:r>
          </w:p>
        </w:tc>
        <w:tc>
          <w:tcPr>
            <w:tcW w:type="dxa" w:w="6552"/>
            <w:vAlign w:val="center"/>
            <w:shd w:fill="FFFFFF"/>
          </w:tcPr>
          <w:p>
            <w:pPr>
              <w:spacing w:after="0" w:before="0" w:line="245" w:lineRule="auto"/>
            </w:pPr>
            <w:r>
              <w:rPr>
                <w:b w:val="0"/>
                <w:color w:val="000000"/>
                <w:sz w:val="20"/>
              </w:rPr>
              <w:t>Credits/refunds aggregate exactly once across payouts; gross remains unchanged.</w:t>
            </w:r>
          </w:p>
        </w:tc>
      </w:tr>
      <w:tr>
        <w:trPr>
          <w:cantSplit/>
        </w:trPr>
        <w:tc>
          <w:tcPr>
            <w:tcW w:type="dxa" w:w="864"/>
            <w:vAlign w:val="center"/>
            <w:shd w:fill="FFFFFF"/>
          </w:tcPr>
          <w:p>
            <w:pPr>
              <w:spacing w:after="0" w:before="0" w:line="245" w:lineRule="auto"/>
            </w:pPr>
            <w:r>
              <w:rPr>
                <w:b w:val="0"/>
                <w:color w:val="000000"/>
                <w:sz w:val="20"/>
              </w:rPr>
              <w:t>AT06</w:t>
            </w:r>
          </w:p>
        </w:tc>
        <w:tc>
          <w:tcPr>
            <w:tcW w:type="dxa" w:w="2664"/>
            <w:vAlign w:val="center"/>
            <w:shd w:fill="FFFFFF"/>
          </w:tcPr>
          <w:p>
            <w:pPr>
              <w:spacing w:after="0" w:before="0" w:line="245" w:lineRule="auto"/>
            </w:pPr>
            <w:r>
              <w:rPr>
                <w:b w:val="0"/>
                <w:color w:val="000000"/>
                <w:sz w:val="20"/>
              </w:rPr>
              <w:t>Duplicate and ambiguous CRM</w:t>
            </w:r>
          </w:p>
        </w:tc>
        <w:tc>
          <w:tcPr>
            <w:tcW w:type="dxa" w:w="6552"/>
            <w:vAlign w:val="center"/>
            <w:shd w:fill="FFFFFF"/>
          </w:tcPr>
          <w:p>
            <w:pPr>
              <w:spacing w:after="0" w:before="0" w:line="245" w:lineRule="auto"/>
            </w:pPr>
            <w:r>
              <w:rPr>
                <w:b w:val="0"/>
                <w:color w:val="000000"/>
                <w:sz w:val="20"/>
              </w:rPr>
              <w:t>Duplicate keys and competing candidates never auto-match or auto-create.</w:t>
            </w:r>
          </w:p>
        </w:tc>
      </w:tr>
      <w:tr>
        <w:trPr>
          <w:cantSplit/>
        </w:trPr>
        <w:tc>
          <w:tcPr>
            <w:tcW w:type="dxa" w:w="864"/>
            <w:vAlign w:val="center"/>
            <w:shd w:fill="FFFFFF"/>
          </w:tcPr>
          <w:p>
            <w:pPr>
              <w:spacing w:after="0" w:before="0" w:line="245" w:lineRule="auto"/>
            </w:pPr>
            <w:r>
              <w:rPr>
                <w:b w:val="0"/>
                <w:color w:val="000000"/>
                <w:sz w:val="20"/>
              </w:rPr>
              <w:t>AT07</w:t>
            </w:r>
          </w:p>
        </w:tc>
        <w:tc>
          <w:tcPr>
            <w:tcW w:type="dxa" w:w="2664"/>
            <w:vAlign w:val="center"/>
            <w:shd w:fill="FFFFFF"/>
          </w:tcPr>
          <w:p>
            <w:pPr>
              <w:spacing w:after="0" w:before="0" w:line="245" w:lineRule="auto"/>
            </w:pPr>
            <w:r>
              <w:rPr>
                <w:b w:val="0"/>
                <w:color w:val="000000"/>
                <w:sz w:val="20"/>
              </w:rPr>
              <w:t>Unknown fields and formats</w:t>
            </w:r>
          </w:p>
        </w:tc>
        <w:tc>
          <w:tcPr>
            <w:tcW w:type="dxa" w:w="6552"/>
            <w:vAlign w:val="center"/>
            <w:shd w:fill="FFFFFF"/>
          </w:tcPr>
          <w:p>
            <w:pPr>
              <w:spacing w:after="0" w:before="0" w:line="245" w:lineRule="auto"/>
            </w:pPr>
            <w:r>
              <w:rPr>
                <w:b w:val="0"/>
                <w:color w:val="000000"/>
                <w:sz w:val="20"/>
              </w:rPr>
              <w:t>Schema change, currency, status, date, and overflow errors show actionable findings without silent coercion.</w:t>
            </w:r>
          </w:p>
        </w:tc>
      </w:tr>
      <w:tr>
        <w:trPr>
          <w:cantSplit/>
        </w:trPr>
        <w:tc>
          <w:tcPr>
            <w:tcW w:type="dxa" w:w="864"/>
            <w:vAlign w:val="center"/>
            <w:shd w:fill="FFFFFF"/>
          </w:tcPr>
          <w:p>
            <w:pPr>
              <w:spacing w:after="0" w:before="0" w:line="245" w:lineRule="auto"/>
            </w:pPr>
            <w:r>
              <w:rPr>
                <w:b w:val="0"/>
                <w:color w:val="000000"/>
                <w:sz w:val="20"/>
              </w:rPr>
              <w:t>AT08</w:t>
            </w:r>
          </w:p>
        </w:tc>
        <w:tc>
          <w:tcPr>
            <w:tcW w:type="dxa" w:w="2664"/>
            <w:vAlign w:val="center"/>
            <w:shd w:fill="FFFFFF"/>
          </w:tcPr>
          <w:p>
            <w:pPr>
              <w:spacing w:after="0" w:before="0" w:line="245" w:lineRule="auto"/>
            </w:pPr>
            <w:r>
              <w:rPr>
                <w:b w:val="0"/>
                <w:color w:val="000000"/>
                <w:sz w:val="20"/>
              </w:rPr>
              <w:t>Scope and freshness</w:t>
            </w:r>
          </w:p>
        </w:tc>
        <w:tc>
          <w:tcPr>
            <w:tcW w:type="dxa" w:w="6552"/>
            <w:vAlign w:val="center"/>
            <w:shd w:fill="FFFFFF"/>
          </w:tcPr>
          <w:p>
            <w:pPr>
              <w:spacing w:after="0" w:before="0" w:line="245" w:lineRule="auto"/>
            </w:pPr>
            <w:r>
              <w:rPr>
                <w:b w:val="0"/>
                <w:color w:val="000000"/>
                <w:sz w:val="20"/>
              </w:rPr>
              <w:t>Partial/stale CRM coverage blocks unsafe creates; missing payout history is not labeled lost money.</w:t>
            </w:r>
          </w:p>
        </w:tc>
      </w:tr>
      <w:tr>
        <w:trPr>
          <w:cantSplit/>
        </w:trPr>
        <w:tc>
          <w:tcPr>
            <w:tcW w:type="dxa" w:w="864"/>
            <w:vAlign w:val="center"/>
            <w:shd w:fill="FFFFFF"/>
          </w:tcPr>
          <w:p>
            <w:pPr>
              <w:spacing w:after="0" w:before="0" w:line="245" w:lineRule="auto"/>
            </w:pPr>
            <w:r>
              <w:rPr>
                <w:b w:val="0"/>
                <w:color w:val="000000"/>
                <w:sz w:val="20"/>
              </w:rPr>
              <w:t>AT09</w:t>
            </w:r>
          </w:p>
        </w:tc>
        <w:tc>
          <w:tcPr>
            <w:tcW w:type="dxa" w:w="2664"/>
            <w:vAlign w:val="center"/>
            <w:shd w:fill="FFFFFF"/>
          </w:tcPr>
          <w:p>
            <w:pPr>
              <w:spacing w:after="0" w:before="0" w:line="245" w:lineRule="auto"/>
            </w:pPr>
            <w:r>
              <w:rPr>
                <w:b w:val="0"/>
                <w:color w:val="000000"/>
                <w:sz w:val="20"/>
              </w:rPr>
              <w:t>Approval invalidation</w:t>
            </w:r>
          </w:p>
        </w:tc>
        <w:tc>
          <w:tcPr>
            <w:tcW w:type="dxa" w:w="6552"/>
            <w:vAlign w:val="center"/>
            <w:shd w:fill="FFFFFF"/>
          </w:tcPr>
          <w:p>
            <w:pPr>
              <w:spacing w:after="0" w:before="0" w:line="245" w:lineRule="auto"/>
            </w:pPr>
            <w:r>
              <w:rPr>
                <w:b w:val="0"/>
                <w:color w:val="000000"/>
                <w:sz w:val="20"/>
              </w:rPr>
              <w:t>Changed evidence or mappings requires a new run; old approvals cannot enter the new export.</w:t>
            </w:r>
          </w:p>
        </w:tc>
      </w:tr>
      <w:tr>
        <w:trPr>
          <w:cantSplit/>
        </w:trPr>
        <w:tc>
          <w:tcPr>
            <w:tcW w:type="dxa" w:w="864"/>
            <w:vAlign w:val="center"/>
            <w:shd w:fill="FFFFFF"/>
          </w:tcPr>
          <w:p>
            <w:pPr>
              <w:spacing w:after="0" w:before="0" w:line="245" w:lineRule="auto"/>
            </w:pPr>
            <w:r>
              <w:rPr>
                <w:b w:val="0"/>
                <w:color w:val="000000"/>
                <w:sz w:val="20"/>
              </w:rPr>
              <w:t>AT10</w:t>
            </w:r>
          </w:p>
        </w:tc>
        <w:tc>
          <w:tcPr>
            <w:tcW w:type="dxa" w:w="2664"/>
            <w:vAlign w:val="center"/>
            <w:shd w:fill="FFFFFF"/>
          </w:tcPr>
          <w:p>
            <w:pPr>
              <w:spacing w:after="0" w:before="0" w:line="245" w:lineRule="auto"/>
            </w:pPr>
            <w:r>
              <w:rPr>
                <w:b w:val="0"/>
                <w:color w:val="000000"/>
                <w:sz w:val="20"/>
              </w:rPr>
              <w:t>Retry and export repeatability</w:t>
            </w:r>
          </w:p>
        </w:tc>
        <w:tc>
          <w:tcPr>
            <w:tcW w:type="dxa" w:w="6552"/>
            <w:vAlign w:val="center"/>
            <w:shd w:fill="FFFFFF"/>
          </w:tcPr>
          <w:p>
            <w:pPr>
              <w:spacing w:after="0" w:before="0" w:line="245" w:lineRule="auto"/>
            </w:pPr>
            <w:r>
              <w:rPr>
                <w:b w:val="0"/>
                <w:color w:val="000000"/>
                <w:sz w:val="20"/>
              </w:rPr>
              <w:t>Duplicate requests return the same committed batch; download bytes and hashes are identical.</w:t>
            </w:r>
          </w:p>
        </w:tc>
      </w:tr>
      <w:tr>
        <w:trPr>
          <w:cantSplit/>
        </w:trPr>
        <w:tc>
          <w:tcPr>
            <w:tcW w:type="dxa" w:w="864"/>
            <w:vAlign w:val="center"/>
            <w:shd w:fill="FFFFFF"/>
          </w:tcPr>
          <w:p>
            <w:pPr>
              <w:spacing w:after="0" w:before="0" w:line="245" w:lineRule="auto"/>
            </w:pPr>
            <w:r>
              <w:rPr>
                <w:b w:val="0"/>
                <w:color w:val="000000"/>
                <w:sz w:val="20"/>
              </w:rPr>
              <w:t>AT11</w:t>
            </w:r>
          </w:p>
        </w:tc>
        <w:tc>
          <w:tcPr>
            <w:tcW w:type="dxa" w:w="2664"/>
            <w:vAlign w:val="center"/>
            <w:shd w:fill="FFFFFF"/>
          </w:tcPr>
          <w:p>
            <w:pPr>
              <w:spacing w:after="0" w:before="0" w:line="245" w:lineRule="auto"/>
            </w:pPr>
            <w:r>
              <w:rPr>
                <w:b w:val="0"/>
                <w:color w:val="000000"/>
                <w:sz w:val="20"/>
              </w:rPr>
              <w:t>Confirmation outcomes</w:t>
            </w:r>
          </w:p>
        </w:tc>
        <w:tc>
          <w:tcPr>
            <w:tcW w:type="dxa" w:w="6552"/>
            <w:vAlign w:val="center"/>
            <w:shd w:fill="FFFFFF"/>
          </w:tcPr>
          <w:p>
            <w:pPr>
              <w:spacing w:after="0" w:before="0" w:line="245" w:lineRule="auto"/>
            </w:pPr>
            <w:r>
              <w:rPr>
                <w:b w:val="0"/>
                <w:color w:val="000000"/>
                <w:sz w:val="20"/>
              </w:rPr>
              <w:t>Fresh simulated snapshot confirms six actions; stale, mismatched, or partial snapshots cannot falsely confirm.</w:t>
            </w:r>
          </w:p>
        </w:tc>
      </w:tr>
      <w:tr>
        <w:trPr>
          <w:cantSplit/>
        </w:trPr>
        <w:tc>
          <w:tcPr>
            <w:tcW w:type="dxa" w:w="864"/>
            <w:vAlign w:val="center"/>
            <w:shd w:fill="FFFFFF"/>
          </w:tcPr>
          <w:p>
            <w:pPr>
              <w:spacing w:after="0" w:before="0" w:line="245" w:lineRule="auto"/>
            </w:pPr>
            <w:r>
              <w:rPr>
                <w:b w:val="0"/>
                <w:color w:val="000000"/>
                <w:sz w:val="20"/>
              </w:rPr>
              <w:t>AT12</w:t>
            </w:r>
          </w:p>
        </w:tc>
        <w:tc>
          <w:tcPr>
            <w:tcW w:type="dxa" w:w="2664"/>
            <w:vAlign w:val="center"/>
            <w:shd w:fill="FFFFFF"/>
          </w:tcPr>
          <w:p>
            <w:pPr>
              <w:spacing w:after="0" w:before="0" w:line="245" w:lineRule="auto"/>
            </w:pPr>
            <w:r>
              <w:rPr>
                <w:b w:val="0"/>
                <w:color w:val="000000"/>
                <w:sz w:val="20"/>
              </w:rPr>
              <w:t>Workspace authorization</w:t>
            </w:r>
          </w:p>
        </w:tc>
        <w:tc>
          <w:tcPr>
            <w:tcW w:type="dxa" w:w="6552"/>
            <w:vAlign w:val="center"/>
            <w:shd w:fill="FFFFFF"/>
          </w:tcPr>
          <w:p>
            <w:pPr>
              <w:spacing w:after="0" w:before="0" w:line="245" w:lineRule="auto"/>
            </w:pPr>
            <w:r>
              <w:rPr>
                <w:b w:val="0"/>
                <w:color w:val="000000"/>
                <w:sz w:val="20"/>
              </w:rPr>
              <w:t>A second session cannot access another session’s imports, records, decisions, objects, or exports.</w:t>
            </w:r>
          </w:p>
        </w:tc>
      </w:tr>
      <w:tr>
        <w:trPr>
          <w:cantSplit/>
        </w:trPr>
        <w:tc>
          <w:tcPr>
            <w:tcW w:type="dxa" w:w="864"/>
            <w:vAlign w:val="center"/>
            <w:shd w:fill="FFFFFF"/>
          </w:tcPr>
          <w:p>
            <w:pPr>
              <w:spacing w:after="0" w:before="0" w:line="245" w:lineRule="auto"/>
            </w:pPr>
            <w:r>
              <w:rPr>
                <w:b w:val="0"/>
                <w:color w:val="000000"/>
                <w:sz w:val="20"/>
              </w:rPr>
              <w:t>AT13</w:t>
            </w:r>
          </w:p>
        </w:tc>
        <w:tc>
          <w:tcPr>
            <w:tcW w:type="dxa" w:w="2664"/>
            <w:vAlign w:val="center"/>
            <w:shd w:fill="FFFFFF"/>
          </w:tcPr>
          <w:p>
            <w:pPr>
              <w:spacing w:after="0" w:before="0" w:line="245" w:lineRule="auto"/>
            </w:pPr>
            <w:r>
              <w:rPr>
                <w:b w:val="0"/>
                <w:color w:val="000000"/>
                <w:sz w:val="20"/>
              </w:rPr>
              <w:t>Expiry and failure recovery</w:t>
            </w:r>
          </w:p>
        </w:tc>
        <w:tc>
          <w:tcPr>
            <w:tcW w:type="dxa" w:w="6552"/>
            <w:vAlign w:val="center"/>
            <w:shd w:fill="FFFFFF"/>
          </w:tcPr>
          <w:p>
            <w:pPr>
              <w:spacing w:after="0" w:before="0" w:line="245" w:lineRule="auto"/>
            </w:pPr>
            <w:r>
              <w:rPr>
                <w:b w:val="0"/>
                <w:color w:val="000000"/>
                <w:sz w:val="20"/>
              </w:rPr>
              <w:t>Expired access is denied; cleanup retries safely; interrupted processing exposes no partial active results.</w:t>
            </w:r>
          </w:p>
        </w:tc>
      </w:tr>
      <w:tr>
        <w:trPr>
          <w:cantSplit/>
        </w:trPr>
        <w:tc>
          <w:tcPr>
            <w:tcW w:type="dxa" w:w="864"/>
            <w:vAlign w:val="center"/>
            <w:shd w:fill="FFFFFF"/>
          </w:tcPr>
          <w:p>
            <w:pPr>
              <w:spacing w:after="0" w:before="0" w:line="245" w:lineRule="auto"/>
            </w:pPr>
            <w:r>
              <w:rPr>
                <w:b w:val="0"/>
                <w:color w:val="000000"/>
                <w:sz w:val="20"/>
              </w:rPr>
              <w:t>AT14</w:t>
            </w:r>
          </w:p>
        </w:tc>
        <w:tc>
          <w:tcPr>
            <w:tcW w:type="dxa" w:w="2664"/>
            <w:vAlign w:val="center"/>
            <w:shd w:fill="FFFFFF"/>
          </w:tcPr>
          <w:p>
            <w:pPr>
              <w:spacing w:after="0" w:before="0" w:line="245" w:lineRule="auto"/>
            </w:pPr>
            <w:r>
              <w:rPr>
                <w:b w:val="0"/>
                <w:color w:val="000000"/>
                <w:sz w:val="20"/>
              </w:rPr>
              <w:t>Hostile input and escaping</w:t>
            </w:r>
          </w:p>
        </w:tc>
        <w:tc>
          <w:tcPr>
            <w:tcW w:type="dxa" w:w="6552"/>
            <w:vAlign w:val="center"/>
            <w:shd w:fill="FFFFFF"/>
          </w:tcPr>
          <w:p>
            <w:pPr>
              <w:spacing w:after="0" w:before="0" w:line="245" w:lineRule="auto"/>
            </w:pPr>
            <w:r>
              <w:rPr>
                <w:b w:val="0"/>
                <w:color w:val="000000"/>
                <w:sz w:val="20"/>
              </w:rPr>
              <w:t>Formula-leading text, HTML, oversized files, malformed CSVs, and arbitrary public uploads are handled as specified.</w:t>
            </w:r>
          </w:p>
        </w:tc>
      </w:tr>
      <w:tr>
        <w:trPr>
          <w:cantSplit/>
        </w:trPr>
        <w:tc>
          <w:tcPr>
            <w:tcW w:type="dxa" w:w="864"/>
            <w:vAlign w:val="center"/>
            <w:shd w:fill="FFFFFF"/>
          </w:tcPr>
          <w:p>
            <w:pPr>
              <w:spacing w:after="0" w:before="0" w:line="245" w:lineRule="auto"/>
            </w:pPr>
            <w:r>
              <w:rPr>
                <w:b w:val="0"/>
                <w:color w:val="000000"/>
                <w:sz w:val="20"/>
              </w:rPr>
              <w:t>AT15</w:t>
            </w:r>
          </w:p>
        </w:tc>
        <w:tc>
          <w:tcPr>
            <w:tcW w:type="dxa" w:w="2664"/>
            <w:vAlign w:val="center"/>
            <w:shd w:fill="FFFFFF"/>
          </w:tcPr>
          <w:p>
            <w:pPr>
              <w:spacing w:after="0" w:before="0" w:line="245" w:lineRule="auto"/>
            </w:pPr>
            <w:r>
              <w:rPr>
                <w:b w:val="0"/>
                <w:color w:val="000000"/>
                <w:sz w:val="20"/>
              </w:rPr>
              <w:t>Deployed usability and performance</w:t>
            </w:r>
          </w:p>
        </w:tc>
        <w:tc>
          <w:tcPr>
            <w:tcW w:type="dxa" w:w="6552"/>
            <w:vAlign w:val="center"/>
            <w:shd w:fill="FFFFFF"/>
          </w:tcPr>
          <w:p>
            <w:pPr>
              <w:spacing w:after="0" w:before="0" w:line="245" w:lineRule="auto"/>
            </w:pPr>
            <w:r>
              <w:rPr>
                <w:b w:val="0"/>
                <w:color w:val="000000"/>
                <w:sz w:val="20"/>
              </w:rPr>
              <w:t>Keyboard journey, responsive layouts, cold/warm targets, persistence across redeploy, and traceable errors pass.</w:t>
            </w:r>
          </w:p>
        </w:tc>
      </w:tr>
    </w:tbl>
    <w:p>
      <w:pPr>
        <w:spacing w:after="20"/>
      </w:pPr>
    </w:p>
    <w:p>
      <w:r>
        <w:t>Use PHP unit tests for money and matching invariants, Laravel integration tests for persistence and authorization, and browser tests for the guided journey and recovery. Run functional tests against PostgreSQL as well as any fast local test database. A passing unit suite alone is insufficient for public release.</w:t>
      </w:r>
    </w:p>
    <w:p>
      <w:r>
        <w:br w:type="page"/>
      </w:r>
    </w:p>
    <w:p>
      <w:pPr>
        <w:pStyle w:val="Heading1"/>
      </w:pPr>
      <w:r>
        <w:t>16 Build order and implementation handoff</w:t>
      </w:r>
    </w:p>
    <w:p>
      <w:pPr>
        <w:pStyle w:val="Heading2"/>
      </w:pPr>
      <w:r>
        <w:t>Milestone 1 Prove the hosting path</w:t>
      </w:r>
    </w:p>
    <w:p>
      <w:r>
        <w:t>Deploy Laravel with a database, private storage, sessions, and a health endpoint. Complete one upload-to-export flow and verify persistence across a redeployment. Exit when a real Vercel deployment can run and preserve the minimal workflow.</w:t>
      </w:r>
    </w:p>
    <w:p>
      <w:pPr>
        <w:pStyle w:val="Heading2"/>
      </w:pPr>
      <w:r>
        <w:t>Milestone 2 Prove the reconciliation engine</w:t>
      </w:r>
    </w:p>
    <w:p>
      <w:r>
        <w:t>Implement adapters, canonical records, immutable versions, money arithmetic, deterministic matching, coverage rules, and fixture tests. Run the reference scenario through an Artisan command before building detailed screens. Exit when expected outcomes and repeat-import behavior match independently checked fixtures.</w:t>
      </w:r>
    </w:p>
    <w:p>
      <w:pPr>
        <w:pStyle w:val="Heading2"/>
      </w:pPr>
      <w:r>
        <w:t>Milestone 3 Complete the operational workflow</w:t>
      </w:r>
    </w:p>
    <w:p>
      <w:r>
        <w:t>Build imports, overview, exception details, campaign mapping, audited review, export preview, immutable batches, and snapshot confirmation. Add local evaluation setup. Exit when the full guided scenario is usable and every output traces to source evidence.</w:t>
      </w:r>
    </w:p>
    <w:p>
      <w:pPr>
        <w:pStyle w:val="Heading2"/>
      </w:pPr>
      <w:r>
        <w:t>Milestone 4 Prepare the public release</w:t>
      </w:r>
    </w:p>
    <w:p>
      <w:r>
        <w:t>Add isolated temporary workspaces, catalogued file uploads, scenarios, reset, expiry, rate limits, accessible interactions, error recovery, and measured deployment checks. Exit when all acceptance tests pass and a fresh visitor can finish the guided journey without assistance.</w:t>
      </w:r>
    </w:p>
    <w:p>
      <w:pPr>
        <w:pStyle w:val="Heading2"/>
      </w:pPr>
      <w:r>
        <w:t>Repository deliverables</w:t>
      </w:r>
    </w:p>
    <w:p>
      <w:pPr>
        <w:pStyle w:val="ListBullet"/>
      </w:pPr>
      <w:r>
        <w:t>Application source, dependency lockfiles, Dockerfile.vercel, Caddyfile, vercel.json, Docker Compose, and a secret-free environment example.</w:t>
      </w:r>
    </w:p>
    <w:p>
      <w:pPr>
        <w:pStyle w:val="ListBullet"/>
      </w:pPr>
      <w:r>
        <w:t>Versioned CSV fixtures, context manifests, expected outputs, focused tests, and commands to run the demo and validation suite.</w:t>
      </w:r>
    </w:p>
    <w:p>
      <w:pPr>
        <w:pStyle w:val="ListBullet"/>
      </w:pPr>
      <w:r>
        <w:t>README with public URL, quick start, architecture, data definitions, limitations, deployment instructions, and rollback and cleanup procedures.</w:t>
      </w:r>
    </w:p>
    <w:p>
      <w:pPr>
        <w:pStyle w:val="ListBullet"/>
      </w:pPr>
      <w:r>
        <w:t>A short case study explaining the workflow, evidence, design choices, measured results, and remaining integration work. Describe synthetic benchmarks as synthetic.</w:t>
      </w:r>
    </w:p>
    <w:p>
      <w:pPr>
        <w:pStyle w:val="Heading2"/>
      </w:pPr>
      <w:r>
        <w:t>Before any real organizational pilot</w:t>
      </w:r>
    </w:p>
    <w:p>
      <w:r>
        <w:t>Obtain representative private reports and a CRM field map; confirm identifier uniqueness, report coverage, update/refund semantics, and recognition timing. Agree donor association and restricted-campaign rules. Validate the generated import in a destination sandbox before any production write. Select the private hosting, identity, retention, and review requirements for actual donor data.</w:t>
      </w:r>
    </w:p>
    <w:p>
      <w:r>
        <w:t>These questions do not block the public demo. They define the adaptation work needed to turn a demonstrably correct reference implementation into a useful internal tool.</w:t>
      </w:r>
    </w:p>
    <w:p>
      <w:r>
        <w:br w:type="page"/>
      </w:r>
    </w:p>
    <w:p>
      <w:pPr>
        <w:pStyle w:val="Heading1"/>
      </w:pPr>
      <w:r>
        <w:t>17 Sources and requirement conventions</w:t>
      </w:r>
    </w:p>
    <w:p>
      <w:r>
        <w:t>Sources were checked on 18 October 2026. Product behavior, numerical limits, fixture outcomes, performance targets, and implementation choices in this specification are proposed requirements. They are not claims about GiveDirectly’s internal systems or measured production performance.</w:t>
      </w:r>
    </w:p>
    <w:p>
      <w:hyperlink r:id="rId10">
        <w:r>
          <w:rPr>
            <w:color w:val="175A86"/>
          </w:rPr>
          <w:t>[1] GiveDirectly Senior Software Engineer Fundraising job description</w:t>
        </w:r>
      </w:hyperlink>
    </w:p>
    <w:p>
      <w:r>
        <w:t>Supports the role’s use of Laravel, PHP, plain JavaScript, Salesforce, SQL, and partner CSV workflows. It does not identify a specific unresolved reconciliation defect.</w:t>
      </w:r>
    </w:p>
    <w:p>
      <w:hyperlink r:id="rId11">
        <w:r>
          <w:rPr>
            <w:color w:val="175A86"/>
          </w:rPr>
          <w:t>[2] CAF guide to donation reports and payment reports</w:t>
        </w:r>
      </w:hyperlink>
    </w:p>
    <w:p>
      <w:r>
        <w:t>Supports the distinction between donation data, pending activity, and provider payment reports. The canonical CSV columns in this specification are an original demo contract.</w:t>
      </w:r>
    </w:p>
    <w:p>
      <w:hyperlink r:id="rId12">
        <w:r>
          <w:rPr>
            <w:color w:val="175A86"/>
          </w:rPr>
          <w:t>[3] Laravel 13 release notes and PHP compatibility</w:t>
        </w:r>
      </w:hyperlink>
    </w:p>
    <w:p>
      <w:r>
        <w:t>Supports the selected Laravel and PHP compatibility. Pin exact dependency versions during implementation and verify updates through the project tests.</w:t>
      </w:r>
    </w:p>
    <w:p>
      <w:hyperlink r:id="rId13">
        <w:r>
          <w:rPr>
            <w:color w:val="175A86"/>
          </w:rPr>
          <w:t>[4] Vercel guide to deploying Laravel with Docker</w:t>
        </w:r>
      </w:hyperlink>
    </w:p>
    <w:p>
      <w:r>
        <w:t>Supports FrankenPHP deployment and the need for external durable state, appropriate runtime configuration, and separate migration execution.</w:t>
      </w:r>
    </w:p>
    <w:p>
      <w:hyperlink r:id="rId14">
        <w:r>
          <w:rPr>
            <w:color w:val="175A86"/>
          </w:rPr>
          <w:t>[5] Vercel Container Runtime documentation</w:t>
        </w:r>
      </w:hyperlink>
    </w:p>
    <w:p>
      <w:r>
        <w:t>Documents the beta runtime, scaling behavior, and application of function limits. Recheck plan-specific limits when deploying.</w:t>
      </w:r>
    </w:p>
    <w:p>
      <w:hyperlink r:id="rId15">
        <w:r>
          <w:rPr>
            <w:color w:val="175A86"/>
          </w:rPr>
          <w:t>[6] Vercel guidance on Functions containers and Daemons</w:t>
        </w:r>
      </w:hyperlink>
    </w:p>
    <w:p>
      <w:r>
        <w:t>Explains the separation between request-serving containers and continuous background workers.</w:t>
      </w:r>
    </w:p>
    <w:p>
      <w:pPr>
        <w:pStyle w:val="Heading2"/>
      </w:pPr>
      <w:r>
        <w:t>Requirement interpretation</w:t>
      </w:r>
    </w:p>
    <w:p>
      <w:r>
        <w:t>“Required” and “must” are public release gates unless a paragraph explicitly says local evaluation or deferred. All specified reports, screens, and processing rules are part of the first complete release. The build milestones order delivery without weakening the release criteria.</w:t>
      </w:r>
    </w:p>
    <w:p>
      <w:r>
        <w:t>The public demonstration uses the same deterministic engine as local evaluation. Its controlled inputs make correctness and expected results reviewable. Live provider access, bank receipt verification, CRM writes, and real-world time savings remain separate integration and evaluation steps.</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Partner Donation Reconciliation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b-boards.greenhouse.io/givedirectly/jobs/4738257005" TargetMode="External"/><Relationship Id="rId11" Type="http://schemas.openxmlformats.org/officeDocument/2006/relationships/hyperlink" Target="https://www.cafonline.org/services-for-charities/funding-for-charities/fundraise-online/support/caf-donate-reports" TargetMode="External"/><Relationship Id="rId12" Type="http://schemas.openxmlformats.org/officeDocument/2006/relationships/hyperlink" Target="https://laravel.com/framework/docs/13.x/releases" TargetMode="External"/><Relationship Id="rId13" Type="http://schemas.openxmlformats.org/officeDocument/2006/relationships/hyperlink" Target="https://vercel.com/kb/guide/laravel-php-with-docker" TargetMode="External"/><Relationship Id="rId14" Type="http://schemas.openxmlformats.org/officeDocument/2006/relationships/hyperlink" Target="https://vercel.com/docs/functions/runtimes/container" TargetMode="External"/><Relationship Id="rId15" Type="http://schemas.openxmlformats.org/officeDocument/2006/relationships/hyperlink" Target="https://vercel.com/kb/guide/vercel-functions-containers-daem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Donation Reconciliation</dc:title>
  <dc:subject>Product and technical specification for a public Laravel demo</dc:subject>
  <dc:creator/>
  <cp:keywords>Laravel, PHP, reconciliation, donations, public demo, Vercel</cp:keywords>
  <dc:description>generated by python-docx</dc:description>
  <cp:lastModifiedBy/>
  <cp:revision>1</cp:revision>
  <dcterms:created xsi:type="dcterms:W3CDTF">2013-12-23T23:15:00Z</dcterms:created>
  <dcterms:modified xsi:type="dcterms:W3CDTF">2013-12-23T23:15:00Z</dcterms:modified>
  <cp:category/>
</cp:coreProperties>
</file>