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6F725" w14:textId="77777777" w:rsidR="00730BE8" w:rsidRDefault="00730BE8" w:rsidP="00730BE8">
      <w:pPr>
        <w:spacing w:line="360" w:lineRule="auto"/>
        <w:jc w:val="both"/>
        <w:rPr>
          <w:rFonts w:ascii="Times New Roman" w:hAnsi="Times New Roman" w:cs="Times New Roman"/>
          <w:lang w:val="en-US"/>
        </w:rPr>
      </w:pPr>
    </w:p>
    <w:p w14:paraId="55C05163" w14:textId="5893B614" w:rsidR="004935F3" w:rsidRDefault="00C51383" w:rsidP="00C51383">
      <w:pPr>
        <w:spacing w:line="360" w:lineRule="auto"/>
        <w:jc w:val="center"/>
        <w:rPr>
          <w:rFonts w:ascii="Times New Roman" w:hAnsi="Times New Roman" w:cs="Times New Roman"/>
          <w:b/>
          <w:bCs/>
          <w:lang w:val="en-US"/>
        </w:rPr>
      </w:pPr>
      <w:r w:rsidRPr="00C51383">
        <w:rPr>
          <w:rFonts w:ascii="Aptos" w:eastAsia="Aptos" w:hAnsi="Aptos" w:cs="Times New Roman"/>
          <w:noProof/>
          <w:sz w:val="22"/>
          <w:szCs w:val="22"/>
        </w:rPr>
        <w:drawing>
          <wp:inline distT="0" distB="0" distL="0" distR="0" wp14:anchorId="35BD0E09" wp14:editId="30D030E8">
            <wp:extent cx="5731510" cy="1805305"/>
            <wp:effectExtent l="0" t="0" r="2540" b="4445"/>
            <wp:docPr id="7" name="Picture 7"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7" descr="A logo for a university&#10;&#10;AI-generated content may be incorrect."/>
                    <pic:cNvPicPr/>
                  </pic:nvPicPr>
                  <pic:blipFill>
                    <a:blip r:embed="rId6"/>
                    <a:stretch>
                      <a:fillRect/>
                    </a:stretch>
                  </pic:blipFill>
                  <pic:spPr>
                    <a:xfrm>
                      <a:off x="0" y="0"/>
                      <a:ext cx="5731510" cy="1805305"/>
                    </a:xfrm>
                    <a:prstGeom prst="rect">
                      <a:avLst/>
                    </a:prstGeom>
                  </pic:spPr>
                </pic:pic>
              </a:graphicData>
            </a:graphic>
          </wp:inline>
        </w:drawing>
      </w:r>
    </w:p>
    <w:p w14:paraId="1FF86FF1" w14:textId="19F982E2" w:rsidR="00C51383" w:rsidRPr="00D87A00" w:rsidRDefault="00C51383" w:rsidP="00C51383">
      <w:pPr>
        <w:spacing w:line="360" w:lineRule="auto"/>
        <w:jc w:val="center"/>
        <w:rPr>
          <w:rFonts w:ascii="Arial" w:hAnsi="Arial" w:cs="Arial"/>
          <w:b/>
          <w:bCs/>
          <w:sz w:val="32"/>
          <w:szCs w:val="32"/>
          <w:lang w:val="en-US"/>
        </w:rPr>
      </w:pPr>
      <w:r w:rsidRPr="00D87A00">
        <w:rPr>
          <w:rFonts w:ascii="Arial" w:hAnsi="Arial" w:cs="Arial"/>
          <w:b/>
          <w:bCs/>
          <w:sz w:val="32"/>
          <w:szCs w:val="32"/>
          <w:lang w:val="en-US"/>
        </w:rPr>
        <w:t xml:space="preserve">Financial Economics (ECM402) Group Assignment </w:t>
      </w:r>
      <w:r w:rsidR="00D87A00">
        <w:rPr>
          <w:rFonts w:ascii="Arial" w:hAnsi="Arial" w:cs="Arial"/>
          <w:b/>
          <w:bCs/>
          <w:sz w:val="32"/>
          <w:szCs w:val="32"/>
          <w:lang w:val="en-US"/>
        </w:rPr>
        <w:t>15 October 2025</w:t>
      </w:r>
    </w:p>
    <w:p w14:paraId="232457B4" w14:textId="38F667A1" w:rsidR="00D849DA" w:rsidRPr="00D87A00" w:rsidRDefault="00D849DA" w:rsidP="00D849DA">
      <w:pPr>
        <w:spacing w:line="360" w:lineRule="auto"/>
        <w:jc w:val="center"/>
        <w:rPr>
          <w:rFonts w:ascii="Arial" w:hAnsi="Arial" w:cs="Arial"/>
          <w:b/>
          <w:bCs/>
          <w:sz w:val="32"/>
          <w:szCs w:val="32"/>
          <w:lang w:val="en-US"/>
        </w:rPr>
      </w:pPr>
      <w:r w:rsidRPr="00D87A00">
        <w:rPr>
          <w:rFonts w:ascii="Arial" w:hAnsi="Arial" w:cs="Arial"/>
          <w:b/>
          <w:bCs/>
          <w:sz w:val="32"/>
          <w:szCs w:val="32"/>
          <w:lang w:val="en-US"/>
        </w:rPr>
        <w:t xml:space="preserve">Security Analysis of Shoprite Holdings Ltd. </w:t>
      </w:r>
    </w:p>
    <w:p w14:paraId="729048E4" w14:textId="5573FD09" w:rsidR="00D849DA" w:rsidRPr="00D87A00" w:rsidRDefault="00D849DA" w:rsidP="00D87A00">
      <w:pPr>
        <w:spacing w:line="360" w:lineRule="auto"/>
        <w:jc w:val="center"/>
        <w:rPr>
          <w:rFonts w:ascii="Times New Roman" w:hAnsi="Times New Roman" w:cs="Times New Roman"/>
          <w:b/>
          <w:bCs/>
          <w:lang w:val="en-US"/>
        </w:rPr>
      </w:pPr>
      <w:r w:rsidRPr="00D87A00">
        <w:rPr>
          <w:rFonts w:ascii="Times New Roman" w:hAnsi="Times New Roman" w:cs="Times New Roman"/>
          <w:b/>
          <w:bCs/>
          <w:lang w:val="en-US"/>
        </w:rPr>
        <w:t>Zakhele Dyosiba 221415351</w:t>
      </w:r>
    </w:p>
    <w:p w14:paraId="09BCD7CB" w14:textId="2D5C7FC4" w:rsidR="00D849DA" w:rsidRPr="00D87A00" w:rsidRDefault="00D849DA" w:rsidP="00D87A00">
      <w:pPr>
        <w:spacing w:line="360" w:lineRule="auto"/>
        <w:jc w:val="center"/>
        <w:rPr>
          <w:rFonts w:ascii="Times New Roman" w:hAnsi="Times New Roman" w:cs="Times New Roman"/>
          <w:b/>
          <w:bCs/>
          <w:lang w:val="en-US"/>
        </w:rPr>
      </w:pPr>
      <w:r w:rsidRPr="00D87A00">
        <w:rPr>
          <w:rFonts w:ascii="Times New Roman" w:hAnsi="Times New Roman" w:cs="Times New Roman"/>
          <w:b/>
          <w:bCs/>
          <w:lang w:val="en-US"/>
        </w:rPr>
        <w:t xml:space="preserve">Amukelani </w:t>
      </w:r>
      <w:proofErr w:type="spellStart"/>
      <w:r w:rsidRPr="00D87A00">
        <w:rPr>
          <w:rFonts w:ascii="Times New Roman" w:hAnsi="Times New Roman" w:cs="Times New Roman"/>
          <w:b/>
          <w:bCs/>
          <w:lang w:val="en-US"/>
        </w:rPr>
        <w:t>Nkona</w:t>
      </w:r>
      <w:proofErr w:type="spellEnd"/>
      <w:r w:rsidRPr="00D87A00">
        <w:rPr>
          <w:rFonts w:ascii="Times New Roman" w:hAnsi="Times New Roman" w:cs="Times New Roman"/>
          <w:b/>
          <w:bCs/>
          <w:lang w:val="en-US"/>
        </w:rPr>
        <w:t xml:space="preserve"> 223341851</w:t>
      </w:r>
    </w:p>
    <w:p w14:paraId="5067713F" w14:textId="0F9641F7" w:rsidR="00D849DA" w:rsidRPr="00D87A00" w:rsidRDefault="00D849DA" w:rsidP="00D87A00">
      <w:pPr>
        <w:spacing w:line="360" w:lineRule="auto"/>
        <w:jc w:val="center"/>
        <w:rPr>
          <w:rFonts w:ascii="Times New Roman" w:hAnsi="Times New Roman" w:cs="Times New Roman"/>
          <w:b/>
          <w:bCs/>
          <w:lang w:val="en-US"/>
        </w:rPr>
      </w:pPr>
      <w:proofErr w:type="spellStart"/>
      <w:r w:rsidRPr="00D87A00">
        <w:rPr>
          <w:rFonts w:ascii="Times New Roman" w:hAnsi="Times New Roman" w:cs="Times New Roman"/>
          <w:b/>
          <w:bCs/>
          <w:lang w:val="en-US"/>
        </w:rPr>
        <w:t>Archiebold</w:t>
      </w:r>
      <w:proofErr w:type="spellEnd"/>
      <w:r w:rsidRPr="00D87A00">
        <w:rPr>
          <w:rFonts w:ascii="Times New Roman" w:hAnsi="Times New Roman" w:cs="Times New Roman"/>
          <w:b/>
          <w:bCs/>
          <w:lang w:val="en-US"/>
        </w:rPr>
        <w:t xml:space="preserve"> Malema 224031139</w:t>
      </w:r>
    </w:p>
    <w:p w14:paraId="33B30A32" w14:textId="0615400C" w:rsidR="00D849DA" w:rsidRPr="00D87A00" w:rsidRDefault="00D849DA" w:rsidP="00D87A00">
      <w:pPr>
        <w:spacing w:line="360" w:lineRule="auto"/>
        <w:jc w:val="center"/>
        <w:rPr>
          <w:rFonts w:ascii="Times New Roman" w:hAnsi="Times New Roman" w:cs="Times New Roman"/>
          <w:b/>
          <w:bCs/>
          <w:lang w:val="en-US"/>
        </w:rPr>
      </w:pPr>
      <w:r w:rsidRPr="00D87A00">
        <w:rPr>
          <w:rFonts w:ascii="Times New Roman" w:hAnsi="Times New Roman" w:cs="Times New Roman"/>
          <w:b/>
          <w:bCs/>
          <w:lang w:val="en-US"/>
        </w:rPr>
        <w:t xml:space="preserve">Avuyile </w:t>
      </w:r>
      <w:proofErr w:type="spellStart"/>
      <w:r w:rsidR="006D6ADB" w:rsidRPr="00D87A00">
        <w:rPr>
          <w:rFonts w:ascii="Times New Roman" w:hAnsi="Times New Roman" w:cs="Times New Roman"/>
          <w:b/>
          <w:bCs/>
          <w:lang w:val="en-US"/>
        </w:rPr>
        <w:t>Hombile</w:t>
      </w:r>
      <w:proofErr w:type="spellEnd"/>
      <w:r w:rsidR="006D6ADB" w:rsidRPr="00D87A00">
        <w:rPr>
          <w:rFonts w:ascii="Times New Roman" w:hAnsi="Times New Roman" w:cs="Times New Roman"/>
          <w:b/>
          <w:bCs/>
          <w:lang w:val="en-US"/>
        </w:rPr>
        <w:t xml:space="preserve"> 225373874</w:t>
      </w:r>
    </w:p>
    <w:p w14:paraId="09E48EDC" w14:textId="43FAD92D" w:rsidR="006D6ADB" w:rsidRPr="00D87A00" w:rsidRDefault="006D6ADB" w:rsidP="00D87A00">
      <w:pPr>
        <w:spacing w:line="360" w:lineRule="auto"/>
        <w:jc w:val="center"/>
        <w:rPr>
          <w:rFonts w:ascii="Times New Roman" w:hAnsi="Times New Roman" w:cs="Times New Roman"/>
          <w:b/>
          <w:bCs/>
          <w:lang w:val="en-US"/>
        </w:rPr>
      </w:pPr>
      <w:proofErr w:type="spellStart"/>
      <w:r w:rsidRPr="00D87A00">
        <w:rPr>
          <w:rFonts w:ascii="Times New Roman" w:hAnsi="Times New Roman" w:cs="Times New Roman"/>
          <w:b/>
          <w:bCs/>
          <w:lang w:val="en-US"/>
        </w:rPr>
        <w:t>Nkcubeko</w:t>
      </w:r>
      <w:proofErr w:type="spellEnd"/>
      <w:r w:rsidRPr="00D87A00">
        <w:rPr>
          <w:rFonts w:ascii="Times New Roman" w:hAnsi="Times New Roman" w:cs="Times New Roman"/>
          <w:b/>
          <w:bCs/>
          <w:lang w:val="en-US"/>
        </w:rPr>
        <w:t xml:space="preserve"> Tshotyana 224033107</w:t>
      </w:r>
    </w:p>
    <w:p w14:paraId="5F8B8E05" w14:textId="02F42535" w:rsidR="006D6ADB" w:rsidRPr="00D87A00" w:rsidRDefault="006D6ADB" w:rsidP="00D87A00">
      <w:pPr>
        <w:spacing w:line="360" w:lineRule="auto"/>
        <w:jc w:val="center"/>
        <w:rPr>
          <w:rFonts w:ascii="Times New Roman" w:hAnsi="Times New Roman" w:cs="Times New Roman"/>
          <w:b/>
          <w:bCs/>
          <w:lang w:val="en-US"/>
        </w:rPr>
      </w:pPr>
      <w:proofErr w:type="spellStart"/>
      <w:r w:rsidRPr="00D87A00">
        <w:rPr>
          <w:rFonts w:ascii="Times New Roman" w:hAnsi="Times New Roman" w:cs="Times New Roman"/>
          <w:b/>
          <w:bCs/>
          <w:lang w:val="en-US"/>
        </w:rPr>
        <w:t>Hlanganisa</w:t>
      </w:r>
      <w:proofErr w:type="spellEnd"/>
      <w:r w:rsidRPr="00D87A00">
        <w:rPr>
          <w:rFonts w:ascii="Times New Roman" w:hAnsi="Times New Roman" w:cs="Times New Roman"/>
          <w:b/>
          <w:bCs/>
          <w:lang w:val="en-US"/>
        </w:rPr>
        <w:t xml:space="preserve"> </w:t>
      </w:r>
      <w:proofErr w:type="spellStart"/>
      <w:r w:rsidRPr="00D87A00">
        <w:rPr>
          <w:rFonts w:ascii="Times New Roman" w:hAnsi="Times New Roman" w:cs="Times New Roman"/>
          <w:b/>
          <w:bCs/>
          <w:lang w:val="en-US"/>
        </w:rPr>
        <w:t>Myosana</w:t>
      </w:r>
      <w:proofErr w:type="spellEnd"/>
      <w:r w:rsidRPr="00D87A00">
        <w:rPr>
          <w:rFonts w:ascii="Times New Roman" w:hAnsi="Times New Roman" w:cs="Times New Roman"/>
          <w:b/>
          <w:bCs/>
          <w:lang w:val="en-US"/>
        </w:rPr>
        <w:t xml:space="preserve"> 224351842</w:t>
      </w:r>
    </w:p>
    <w:p w14:paraId="4997BF98" w14:textId="3E8705DB" w:rsidR="006D6ADB" w:rsidRPr="00D87A00" w:rsidRDefault="006D6ADB" w:rsidP="00D87A00">
      <w:pPr>
        <w:spacing w:line="360" w:lineRule="auto"/>
        <w:jc w:val="center"/>
        <w:rPr>
          <w:rFonts w:ascii="Times New Roman" w:hAnsi="Times New Roman" w:cs="Times New Roman"/>
          <w:b/>
          <w:bCs/>
          <w:lang w:val="en-US"/>
        </w:rPr>
      </w:pPr>
      <w:r w:rsidRPr="00D87A00">
        <w:rPr>
          <w:rFonts w:ascii="Times New Roman" w:hAnsi="Times New Roman" w:cs="Times New Roman"/>
          <w:b/>
          <w:bCs/>
          <w:lang w:val="en-US"/>
        </w:rPr>
        <w:t xml:space="preserve">Glenda Maake </w:t>
      </w:r>
      <w:proofErr w:type="gramStart"/>
      <w:r w:rsidRPr="00D87A00">
        <w:rPr>
          <w:rFonts w:ascii="Times New Roman" w:hAnsi="Times New Roman" w:cs="Times New Roman"/>
          <w:b/>
          <w:bCs/>
          <w:lang w:val="en-US"/>
        </w:rPr>
        <w:t>230053459</w:t>
      </w:r>
      <w:r w:rsidR="00D87A00" w:rsidRPr="00D87A00">
        <w:rPr>
          <w:rFonts w:ascii="Times New Roman" w:hAnsi="Times New Roman" w:cs="Times New Roman"/>
          <w:b/>
          <w:bCs/>
          <w:lang w:val="en-US"/>
        </w:rPr>
        <w:t xml:space="preserve">  and</w:t>
      </w:r>
      <w:proofErr w:type="gramEnd"/>
      <w:r w:rsidR="00D87A00" w:rsidRPr="00D87A00">
        <w:rPr>
          <w:rFonts w:ascii="Times New Roman" w:hAnsi="Times New Roman" w:cs="Times New Roman"/>
          <w:b/>
          <w:bCs/>
          <w:lang w:val="en-US"/>
        </w:rPr>
        <w:t xml:space="preserve"> </w:t>
      </w:r>
      <w:r w:rsidRPr="00D87A00">
        <w:rPr>
          <w:rFonts w:ascii="Times New Roman" w:hAnsi="Times New Roman" w:cs="Times New Roman"/>
          <w:b/>
          <w:bCs/>
          <w:lang w:val="en-US"/>
        </w:rPr>
        <w:t>Olwethu Mnukwa 221067795</w:t>
      </w:r>
    </w:p>
    <w:p w14:paraId="297E9267" w14:textId="77777777" w:rsidR="004935F3" w:rsidRDefault="004935F3" w:rsidP="00730BE8">
      <w:pPr>
        <w:spacing w:line="360" w:lineRule="auto"/>
        <w:jc w:val="both"/>
        <w:rPr>
          <w:rFonts w:ascii="Times New Roman" w:hAnsi="Times New Roman" w:cs="Times New Roman"/>
          <w:b/>
          <w:bCs/>
          <w:lang w:val="en-US"/>
        </w:rPr>
      </w:pPr>
    </w:p>
    <w:p w14:paraId="1B46DDB0" w14:textId="77777777" w:rsidR="004935F3" w:rsidRDefault="004935F3" w:rsidP="00730BE8">
      <w:pPr>
        <w:spacing w:line="360" w:lineRule="auto"/>
        <w:jc w:val="both"/>
        <w:rPr>
          <w:rFonts w:ascii="Times New Roman" w:hAnsi="Times New Roman" w:cs="Times New Roman"/>
          <w:b/>
          <w:bCs/>
          <w:lang w:val="en-US"/>
        </w:rPr>
      </w:pPr>
    </w:p>
    <w:sdt>
      <w:sdtPr>
        <w:id w:val="1628795"/>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3F8A3C7F" w14:textId="77C4CFAE" w:rsidR="003B6AD3" w:rsidRDefault="003B6AD3">
          <w:pPr>
            <w:pStyle w:val="TOCHeading"/>
          </w:pPr>
          <w:r>
            <w:t>Contents</w:t>
          </w:r>
        </w:p>
        <w:p w14:paraId="57A08018" w14:textId="29F0D922" w:rsidR="00EC6897" w:rsidRDefault="003B6AD3">
          <w:pPr>
            <w:pStyle w:val="TOC1"/>
            <w:tabs>
              <w:tab w:val="right" w:leader="dot" w:pos="13948"/>
            </w:tabs>
            <w:rPr>
              <w:rFonts w:eastAsiaTheme="minorEastAsia"/>
              <w:noProof/>
              <w:lang w:eastAsia="en-ZA"/>
            </w:rPr>
          </w:pPr>
          <w:r>
            <w:fldChar w:fldCharType="begin"/>
          </w:r>
          <w:r>
            <w:instrText xml:space="preserve"> TOC \o "1-3" \h \z \u </w:instrText>
          </w:r>
          <w:r>
            <w:fldChar w:fldCharType="separate"/>
          </w:r>
          <w:hyperlink w:anchor="_Toc211444669" w:history="1">
            <w:r w:rsidR="00EC6897" w:rsidRPr="0089336C">
              <w:rPr>
                <w:rStyle w:val="Hyperlink"/>
                <w:rFonts w:asciiTheme="majorBidi" w:eastAsia="Aptos" w:hAnsiTheme="majorBidi"/>
                <w:noProof/>
                <w:lang w:val="en-US"/>
              </w:rPr>
              <w:t>INTRODUCTION</w:t>
            </w:r>
            <w:r w:rsidR="00EC6897">
              <w:rPr>
                <w:noProof/>
                <w:webHidden/>
              </w:rPr>
              <w:tab/>
            </w:r>
            <w:r w:rsidR="00EC6897">
              <w:rPr>
                <w:noProof/>
                <w:webHidden/>
              </w:rPr>
              <w:fldChar w:fldCharType="begin"/>
            </w:r>
            <w:r w:rsidR="00EC6897">
              <w:rPr>
                <w:noProof/>
                <w:webHidden/>
              </w:rPr>
              <w:instrText xml:space="preserve"> PAGEREF _Toc211444669 \h </w:instrText>
            </w:r>
            <w:r w:rsidR="00EC6897">
              <w:rPr>
                <w:noProof/>
                <w:webHidden/>
              </w:rPr>
            </w:r>
            <w:r w:rsidR="00EC6897">
              <w:rPr>
                <w:noProof/>
                <w:webHidden/>
              </w:rPr>
              <w:fldChar w:fldCharType="separate"/>
            </w:r>
            <w:r w:rsidR="00EC6897">
              <w:rPr>
                <w:noProof/>
                <w:webHidden/>
              </w:rPr>
              <w:t>4</w:t>
            </w:r>
            <w:r w:rsidR="00EC6897">
              <w:rPr>
                <w:noProof/>
                <w:webHidden/>
              </w:rPr>
              <w:fldChar w:fldCharType="end"/>
            </w:r>
          </w:hyperlink>
        </w:p>
        <w:p w14:paraId="435EFB1A" w14:textId="3AAA2FF7" w:rsidR="00EC6897" w:rsidRDefault="00EC6897">
          <w:pPr>
            <w:pStyle w:val="TOC2"/>
            <w:tabs>
              <w:tab w:val="right" w:leader="dot" w:pos="13948"/>
            </w:tabs>
            <w:rPr>
              <w:rFonts w:eastAsiaTheme="minorEastAsia"/>
              <w:noProof/>
              <w:lang w:eastAsia="en-ZA"/>
            </w:rPr>
          </w:pPr>
          <w:hyperlink w:anchor="_Toc211444670" w:history="1">
            <w:r w:rsidRPr="0089336C">
              <w:rPr>
                <w:rStyle w:val="Hyperlink"/>
                <w:rFonts w:asciiTheme="majorBidi" w:eastAsia="Aptos" w:hAnsiTheme="majorBidi"/>
                <w:noProof/>
                <w:lang w:val="en-US"/>
              </w:rPr>
              <w:t>1.1 Business description</w:t>
            </w:r>
            <w:r>
              <w:rPr>
                <w:noProof/>
                <w:webHidden/>
              </w:rPr>
              <w:tab/>
            </w:r>
            <w:r>
              <w:rPr>
                <w:noProof/>
                <w:webHidden/>
              </w:rPr>
              <w:fldChar w:fldCharType="begin"/>
            </w:r>
            <w:r>
              <w:rPr>
                <w:noProof/>
                <w:webHidden/>
              </w:rPr>
              <w:instrText xml:space="preserve"> PAGEREF _Toc211444670 \h </w:instrText>
            </w:r>
            <w:r>
              <w:rPr>
                <w:noProof/>
                <w:webHidden/>
              </w:rPr>
            </w:r>
            <w:r>
              <w:rPr>
                <w:noProof/>
                <w:webHidden/>
              </w:rPr>
              <w:fldChar w:fldCharType="separate"/>
            </w:r>
            <w:r>
              <w:rPr>
                <w:noProof/>
                <w:webHidden/>
              </w:rPr>
              <w:t>4</w:t>
            </w:r>
            <w:r>
              <w:rPr>
                <w:noProof/>
                <w:webHidden/>
              </w:rPr>
              <w:fldChar w:fldCharType="end"/>
            </w:r>
          </w:hyperlink>
        </w:p>
        <w:p w14:paraId="2DD3DAE1" w14:textId="24F04A49" w:rsidR="00EC6897" w:rsidRDefault="00EC6897">
          <w:pPr>
            <w:pStyle w:val="TOC3"/>
            <w:tabs>
              <w:tab w:val="right" w:leader="dot" w:pos="13948"/>
            </w:tabs>
            <w:rPr>
              <w:rFonts w:eastAsiaTheme="minorEastAsia"/>
              <w:noProof/>
              <w:lang w:eastAsia="en-ZA"/>
            </w:rPr>
          </w:pPr>
          <w:hyperlink w:anchor="_Toc211444671" w:history="1">
            <w:r w:rsidRPr="0089336C">
              <w:rPr>
                <w:rStyle w:val="Hyperlink"/>
                <w:rFonts w:asciiTheme="majorBidi" w:eastAsia="Aptos" w:hAnsiTheme="majorBidi"/>
                <w:noProof/>
              </w:rPr>
              <w:t xml:space="preserve">1.2 </w:t>
            </w:r>
            <w:r w:rsidRPr="0089336C">
              <w:rPr>
                <w:rStyle w:val="Hyperlink"/>
                <w:rFonts w:asciiTheme="majorBidi" w:eastAsia="Aptos" w:hAnsiTheme="majorBidi"/>
                <w:b/>
                <w:bCs/>
                <w:noProof/>
              </w:rPr>
              <w:t>Macroeconomics variables’ impact on company’s revenues, costs, and profitability</w:t>
            </w:r>
            <w:r>
              <w:rPr>
                <w:noProof/>
                <w:webHidden/>
              </w:rPr>
              <w:tab/>
            </w:r>
            <w:r>
              <w:rPr>
                <w:noProof/>
                <w:webHidden/>
              </w:rPr>
              <w:fldChar w:fldCharType="begin"/>
            </w:r>
            <w:r>
              <w:rPr>
                <w:noProof/>
                <w:webHidden/>
              </w:rPr>
              <w:instrText xml:space="preserve"> PAGEREF _Toc211444671 \h </w:instrText>
            </w:r>
            <w:r>
              <w:rPr>
                <w:noProof/>
                <w:webHidden/>
              </w:rPr>
            </w:r>
            <w:r>
              <w:rPr>
                <w:noProof/>
                <w:webHidden/>
              </w:rPr>
              <w:fldChar w:fldCharType="separate"/>
            </w:r>
            <w:r>
              <w:rPr>
                <w:noProof/>
                <w:webHidden/>
              </w:rPr>
              <w:t>5</w:t>
            </w:r>
            <w:r>
              <w:rPr>
                <w:noProof/>
                <w:webHidden/>
              </w:rPr>
              <w:fldChar w:fldCharType="end"/>
            </w:r>
          </w:hyperlink>
        </w:p>
        <w:p w14:paraId="3380B9B0" w14:textId="17382068" w:rsidR="00EC6897" w:rsidRDefault="00EC6897">
          <w:pPr>
            <w:pStyle w:val="TOC1"/>
            <w:tabs>
              <w:tab w:val="right" w:leader="dot" w:pos="13948"/>
            </w:tabs>
            <w:rPr>
              <w:rFonts w:eastAsiaTheme="minorEastAsia"/>
              <w:noProof/>
              <w:lang w:eastAsia="en-ZA"/>
            </w:rPr>
          </w:pPr>
          <w:hyperlink w:anchor="_Toc211444672" w:history="1">
            <w:r w:rsidRPr="0089336C">
              <w:rPr>
                <w:rStyle w:val="Hyperlink"/>
                <w:rFonts w:asciiTheme="majorBidi" w:eastAsia="Calibri" w:hAnsiTheme="majorBidi"/>
                <w:b/>
                <w:bCs/>
                <w:noProof/>
              </w:rPr>
              <w:t>2. INDUSTRY ANALYSIS (RETAIL INDUSTRY IN SOUTH AFRICA)</w:t>
            </w:r>
            <w:r>
              <w:rPr>
                <w:noProof/>
                <w:webHidden/>
              </w:rPr>
              <w:tab/>
            </w:r>
            <w:r>
              <w:rPr>
                <w:noProof/>
                <w:webHidden/>
              </w:rPr>
              <w:fldChar w:fldCharType="begin"/>
            </w:r>
            <w:r>
              <w:rPr>
                <w:noProof/>
                <w:webHidden/>
              </w:rPr>
              <w:instrText xml:space="preserve"> PAGEREF _Toc211444672 \h </w:instrText>
            </w:r>
            <w:r>
              <w:rPr>
                <w:noProof/>
                <w:webHidden/>
              </w:rPr>
            </w:r>
            <w:r>
              <w:rPr>
                <w:noProof/>
                <w:webHidden/>
              </w:rPr>
              <w:fldChar w:fldCharType="separate"/>
            </w:r>
            <w:r>
              <w:rPr>
                <w:noProof/>
                <w:webHidden/>
              </w:rPr>
              <w:t>6</w:t>
            </w:r>
            <w:r>
              <w:rPr>
                <w:noProof/>
                <w:webHidden/>
              </w:rPr>
              <w:fldChar w:fldCharType="end"/>
            </w:r>
          </w:hyperlink>
        </w:p>
        <w:p w14:paraId="6C606782" w14:textId="360BEACC" w:rsidR="00EC6897" w:rsidRDefault="00EC6897">
          <w:pPr>
            <w:pStyle w:val="TOC2"/>
            <w:tabs>
              <w:tab w:val="right" w:leader="dot" w:pos="13948"/>
            </w:tabs>
            <w:rPr>
              <w:rFonts w:eastAsiaTheme="minorEastAsia"/>
              <w:noProof/>
              <w:lang w:eastAsia="en-ZA"/>
            </w:rPr>
          </w:pPr>
          <w:hyperlink w:anchor="_Toc211444673" w:history="1">
            <w:r w:rsidRPr="0089336C">
              <w:rPr>
                <w:rStyle w:val="Hyperlink"/>
                <w:rFonts w:asciiTheme="majorBidi" w:eastAsia="Calibri" w:hAnsiTheme="majorBidi"/>
                <w:b/>
                <w:bCs/>
                <w:noProof/>
              </w:rPr>
              <w:t>2.1 Porters’ Five Forces Model</w:t>
            </w:r>
            <w:r>
              <w:rPr>
                <w:noProof/>
                <w:webHidden/>
              </w:rPr>
              <w:tab/>
            </w:r>
            <w:r>
              <w:rPr>
                <w:noProof/>
                <w:webHidden/>
              </w:rPr>
              <w:fldChar w:fldCharType="begin"/>
            </w:r>
            <w:r>
              <w:rPr>
                <w:noProof/>
                <w:webHidden/>
              </w:rPr>
              <w:instrText xml:space="preserve"> PAGEREF _Toc211444673 \h </w:instrText>
            </w:r>
            <w:r>
              <w:rPr>
                <w:noProof/>
                <w:webHidden/>
              </w:rPr>
            </w:r>
            <w:r>
              <w:rPr>
                <w:noProof/>
                <w:webHidden/>
              </w:rPr>
              <w:fldChar w:fldCharType="separate"/>
            </w:r>
            <w:r>
              <w:rPr>
                <w:noProof/>
                <w:webHidden/>
              </w:rPr>
              <w:t>6</w:t>
            </w:r>
            <w:r>
              <w:rPr>
                <w:noProof/>
                <w:webHidden/>
              </w:rPr>
              <w:fldChar w:fldCharType="end"/>
            </w:r>
          </w:hyperlink>
        </w:p>
        <w:p w14:paraId="496FC682" w14:textId="3E5A44EA" w:rsidR="00EC6897" w:rsidRDefault="00EC6897">
          <w:pPr>
            <w:pStyle w:val="TOC3"/>
            <w:tabs>
              <w:tab w:val="right" w:leader="dot" w:pos="13948"/>
            </w:tabs>
            <w:rPr>
              <w:rFonts w:eastAsiaTheme="minorEastAsia"/>
              <w:noProof/>
              <w:lang w:eastAsia="en-ZA"/>
            </w:rPr>
          </w:pPr>
          <w:hyperlink w:anchor="_Toc211444674" w:history="1">
            <w:r w:rsidRPr="0089336C">
              <w:rPr>
                <w:rStyle w:val="Hyperlink"/>
                <w:rFonts w:asciiTheme="majorBidi" w:eastAsia="Calibri" w:hAnsiTheme="majorBidi"/>
                <w:b/>
                <w:bCs/>
                <w:noProof/>
              </w:rPr>
              <w:t>2.2 Application of Porter’s five forces In Shoprite</w:t>
            </w:r>
            <w:r>
              <w:rPr>
                <w:noProof/>
                <w:webHidden/>
              </w:rPr>
              <w:tab/>
            </w:r>
            <w:r>
              <w:rPr>
                <w:noProof/>
                <w:webHidden/>
              </w:rPr>
              <w:fldChar w:fldCharType="begin"/>
            </w:r>
            <w:r>
              <w:rPr>
                <w:noProof/>
                <w:webHidden/>
              </w:rPr>
              <w:instrText xml:space="preserve"> PAGEREF _Toc211444674 \h </w:instrText>
            </w:r>
            <w:r>
              <w:rPr>
                <w:noProof/>
                <w:webHidden/>
              </w:rPr>
            </w:r>
            <w:r>
              <w:rPr>
                <w:noProof/>
                <w:webHidden/>
              </w:rPr>
              <w:fldChar w:fldCharType="separate"/>
            </w:r>
            <w:r>
              <w:rPr>
                <w:noProof/>
                <w:webHidden/>
              </w:rPr>
              <w:t>7</w:t>
            </w:r>
            <w:r>
              <w:rPr>
                <w:noProof/>
                <w:webHidden/>
              </w:rPr>
              <w:fldChar w:fldCharType="end"/>
            </w:r>
          </w:hyperlink>
        </w:p>
        <w:p w14:paraId="601F52CD" w14:textId="6B7C297D" w:rsidR="00EC6897" w:rsidRDefault="00EC6897">
          <w:pPr>
            <w:pStyle w:val="TOC1"/>
            <w:tabs>
              <w:tab w:val="right" w:leader="dot" w:pos="13948"/>
            </w:tabs>
            <w:rPr>
              <w:rFonts w:eastAsiaTheme="minorEastAsia"/>
              <w:noProof/>
              <w:lang w:eastAsia="en-ZA"/>
            </w:rPr>
          </w:pPr>
          <w:hyperlink w:anchor="_Toc211444675" w:history="1">
            <w:r w:rsidRPr="0089336C">
              <w:rPr>
                <w:rStyle w:val="Hyperlink"/>
                <w:rFonts w:asciiTheme="majorBidi" w:hAnsiTheme="majorBidi"/>
                <w:b/>
                <w:bCs/>
                <w:noProof/>
                <w:lang w:val="en-US"/>
              </w:rPr>
              <w:t>3. FINANCIAL STATEMENT ANALYSIS</w:t>
            </w:r>
            <w:r>
              <w:rPr>
                <w:noProof/>
                <w:webHidden/>
              </w:rPr>
              <w:tab/>
            </w:r>
            <w:r>
              <w:rPr>
                <w:noProof/>
                <w:webHidden/>
              </w:rPr>
              <w:fldChar w:fldCharType="begin"/>
            </w:r>
            <w:r>
              <w:rPr>
                <w:noProof/>
                <w:webHidden/>
              </w:rPr>
              <w:instrText xml:space="preserve"> PAGEREF _Toc211444675 \h </w:instrText>
            </w:r>
            <w:r>
              <w:rPr>
                <w:noProof/>
                <w:webHidden/>
              </w:rPr>
            </w:r>
            <w:r>
              <w:rPr>
                <w:noProof/>
                <w:webHidden/>
              </w:rPr>
              <w:fldChar w:fldCharType="separate"/>
            </w:r>
            <w:r>
              <w:rPr>
                <w:noProof/>
                <w:webHidden/>
              </w:rPr>
              <w:t>13</w:t>
            </w:r>
            <w:r>
              <w:rPr>
                <w:noProof/>
                <w:webHidden/>
              </w:rPr>
              <w:fldChar w:fldCharType="end"/>
            </w:r>
          </w:hyperlink>
        </w:p>
        <w:p w14:paraId="2CB859B1" w14:textId="514297F3" w:rsidR="00EC6897" w:rsidRDefault="00EC6897">
          <w:pPr>
            <w:pStyle w:val="TOC2"/>
            <w:tabs>
              <w:tab w:val="right" w:leader="dot" w:pos="13948"/>
            </w:tabs>
            <w:rPr>
              <w:rFonts w:eastAsiaTheme="minorEastAsia"/>
              <w:noProof/>
              <w:lang w:eastAsia="en-ZA"/>
            </w:rPr>
          </w:pPr>
          <w:hyperlink w:anchor="_Toc211444676" w:history="1">
            <w:r w:rsidRPr="0089336C">
              <w:rPr>
                <w:rStyle w:val="Hyperlink"/>
                <w:rFonts w:asciiTheme="majorBidi" w:eastAsia="Aptos" w:hAnsiTheme="majorBidi"/>
                <w:b/>
                <w:bCs/>
                <w:noProof/>
              </w:rPr>
              <w:t>3.1 Profitability</w:t>
            </w:r>
            <w:r>
              <w:rPr>
                <w:noProof/>
                <w:webHidden/>
              </w:rPr>
              <w:tab/>
            </w:r>
            <w:r>
              <w:rPr>
                <w:noProof/>
                <w:webHidden/>
              </w:rPr>
              <w:fldChar w:fldCharType="begin"/>
            </w:r>
            <w:r>
              <w:rPr>
                <w:noProof/>
                <w:webHidden/>
              </w:rPr>
              <w:instrText xml:space="preserve"> PAGEREF _Toc211444676 \h </w:instrText>
            </w:r>
            <w:r>
              <w:rPr>
                <w:noProof/>
                <w:webHidden/>
              </w:rPr>
            </w:r>
            <w:r>
              <w:rPr>
                <w:noProof/>
                <w:webHidden/>
              </w:rPr>
              <w:fldChar w:fldCharType="separate"/>
            </w:r>
            <w:r>
              <w:rPr>
                <w:noProof/>
                <w:webHidden/>
              </w:rPr>
              <w:t>14</w:t>
            </w:r>
            <w:r>
              <w:rPr>
                <w:noProof/>
                <w:webHidden/>
              </w:rPr>
              <w:fldChar w:fldCharType="end"/>
            </w:r>
          </w:hyperlink>
        </w:p>
        <w:p w14:paraId="37559F43" w14:textId="6F450BDD" w:rsidR="00EC6897" w:rsidRDefault="00EC6897">
          <w:pPr>
            <w:pStyle w:val="TOC3"/>
            <w:tabs>
              <w:tab w:val="right" w:leader="dot" w:pos="13948"/>
            </w:tabs>
            <w:rPr>
              <w:rFonts w:eastAsiaTheme="minorEastAsia"/>
              <w:noProof/>
              <w:lang w:eastAsia="en-ZA"/>
            </w:rPr>
          </w:pPr>
          <w:hyperlink w:anchor="_Toc211444677" w:history="1">
            <w:r w:rsidRPr="0089336C">
              <w:rPr>
                <w:rStyle w:val="Hyperlink"/>
                <w:rFonts w:asciiTheme="majorBidi" w:eastAsia="Aptos" w:hAnsiTheme="majorBidi"/>
                <w:b/>
                <w:bCs/>
                <w:noProof/>
                <w:lang w:val="en-US"/>
              </w:rPr>
              <w:t>3.2 Liquidity</w:t>
            </w:r>
            <w:r>
              <w:rPr>
                <w:noProof/>
                <w:webHidden/>
              </w:rPr>
              <w:tab/>
            </w:r>
            <w:r>
              <w:rPr>
                <w:noProof/>
                <w:webHidden/>
              </w:rPr>
              <w:fldChar w:fldCharType="begin"/>
            </w:r>
            <w:r>
              <w:rPr>
                <w:noProof/>
                <w:webHidden/>
              </w:rPr>
              <w:instrText xml:space="preserve"> PAGEREF _Toc211444677 \h </w:instrText>
            </w:r>
            <w:r>
              <w:rPr>
                <w:noProof/>
                <w:webHidden/>
              </w:rPr>
            </w:r>
            <w:r>
              <w:rPr>
                <w:noProof/>
                <w:webHidden/>
              </w:rPr>
              <w:fldChar w:fldCharType="separate"/>
            </w:r>
            <w:r>
              <w:rPr>
                <w:noProof/>
                <w:webHidden/>
              </w:rPr>
              <w:t>15</w:t>
            </w:r>
            <w:r>
              <w:rPr>
                <w:noProof/>
                <w:webHidden/>
              </w:rPr>
              <w:fldChar w:fldCharType="end"/>
            </w:r>
          </w:hyperlink>
        </w:p>
        <w:p w14:paraId="6ACB9D83" w14:textId="5EB78C83" w:rsidR="00EC6897" w:rsidRDefault="00EC6897">
          <w:pPr>
            <w:pStyle w:val="TOC3"/>
            <w:tabs>
              <w:tab w:val="right" w:leader="dot" w:pos="13948"/>
            </w:tabs>
            <w:rPr>
              <w:rFonts w:eastAsiaTheme="minorEastAsia"/>
              <w:noProof/>
              <w:lang w:eastAsia="en-ZA"/>
            </w:rPr>
          </w:pPr>
          <w:hyperlink w:anchor="_Toc211444678" w:history="1">
            <w:r w:rsidRPr="0089336C">
              <w:rPr>
                <w:rStyle w:val="Hyperlink"/>
                <w:rFonts w:asciiTheme="majorBidi" w:eastAsia="Aptos" w:hAnsiTheme="majorBidi"/>
                <w:b/>
                <w:bCs/>
                <w:noProof/>
              </w:rPr>
              <w:t>3.3. Leverage (Solvency)</w:t>
            </w:r>
            <w:r>
              <w:rPr>
                <w:noProof/>
                <w:webHidden/>
              </w:rPr>
              <w:tab/>
            </w:r>
            <w:r>
              <w:rPr>
                <w:noProof/>
                <w:webHidden/>
              </w:rPr>
              <w:fldChar w:fldCharType="begin"/>
            </w:r>
            <w:r>
              <w:rPr>
                <w:noProof/>
                <w:webHidden/>
              </w:rPr>
              <w:instrText xml:space="preserve"> PAGEREF _Toc211444678 \h </w:instrText>
            </w:r>
            <w:r>
              <w:rPr>
                <w:noProof/>
                <w:webHidden/>
              </w:rPr>
            </w:r>
            <w:r>
              <w:rPr>
                <w:noProof/>
                <w:webHidden/>
              </w:rPr>
              <w:fldChar w:fldCharType="separate"/>
            </w:r>
            <w:r>
              <w:rPr>
                <w:noProof/>
                <w:webHidden/>
              </w:rPr>
              <w:t>16</w:t>
            </w:r>
            <w:r>
              <w:rPr>
                <w:noProof/>
                <w:webHidden/>
              </w:rPr>
              <w:fldChar w:fldCharType="end"/>
            </w:r>
          </w:hyperlink>
        </w:p>
        <w:p w14:paraId="20669211" w14:textId="1EEC6E62" w:rsidR="00EC6897" w:rsidRDefault="00EC6897">
          <w:pPr>
            <w:pStyle w:val="TOC1"/>
            <w:tabs>
              <w:tab w:val="right" w:leader="dot" w:pos="13948"/>
            </w:tabs>
            <w:rPr>
              <w:rFonts w:eastAsiaTheme="minorEastAsia"/>
              <w:noProof/>
              <w:lang w:eastAsia="en-ZA"/>
            </w:rPr>
          </w:pPr>
          <w:hyperlink w:anchor="_Toc211444679" w:history="1">
            <w:r w:rsidRPr="0089336C">
              <w:rPr>
                <w:rStyle w:val="Hyperlink"/>
                <w:rFonts w:asciiTheme="majorBidi" w:hAnsiTheme="majorBidi"/>
                <w:b/>
                <w:bCs/>
                <w:noProof/>
              </w:rPr>
              <w:t>4. Equity Valuation Models</w:t>
            </w:r>
            <w:r>
              <w:rPr>
                <w:noProof/>
                <w:webHidden/>
              </w:rPr>
              <w:tab/>
            </w:r>
            <w:r>
              <w:rPr>
                <w:noProof/>
                <w:webHidden/>
              </w:rPr>
              <w:fldChar w:fldCharType="begin"/>
            </w:r>
            <w:r>
              <w:rPr>
                <w:noProof/>
                <w:webHidden/>
              </w:rPr>
              <w:instrText xml:space="preserve"> PAGEREF _Toc211444679 \h </w:instrText>
            </w:r>
            <w:r>
              <w:rPr>
                <w:noProof/>
                <w:webHidden/>
              </w:rPr>
            </w:r>
            <w:r>
              <w:rPr>
                <w:noProof/>
                <w:webHidden/>
              </w:rPr>
              <w:fldChar w:fldCharType="separate"/>
            </w:r>
            <w:r>
              <w:rPr>
                <w:noProof/>
                <w:webHidden/>
              </w:rPr>
              <w:t>24</w:t>
            </w:r>
            <w:r>
              <w:rPr>
                <w:noProof/>
                <w:webHidden/>
              </w:rPr>
              <w:fldChar w:fldCharType="end"/>
            </w:r>
          </w:hyperlink>
        </w:p>
        <w:p w14:paraId="19FE6A2C" w14:textId="6C9879E8" w:rsidR="00EC6897" w:rsidRDefault="00EC6897">
          <w:pPr>
            <w:pStyle w:val="TOC1"/>
            <w:tabs>
              <w:tab w:val="right" w:leader="dot" w:pos="13948"/>
            </w:tabs>
            <w:rPr>
              <w:rFonts w:eastAsiaTheme="minorEastAsia"/>
              <w:noProof/>
              <w:lang w:eastAsia="en-ZA"/>
            </w:rPr>
          </w:pPr>
          <w:hyperlink w:anchor="_Toc211444680" w:history="1">
            <w:r w:rsidRPr="0089336C">
              <w:rPr>
                <w:rStyle w:val="Hyperlink"/>
                <w:rFonts w:asciiTheme="majorBidi" w:hAnsiTheme="majorBidi"/>
                <w:b/>
                <w:bCs/>
                <w:noProof/>
              </w:rPr>
              <w:t>5. CONCLUSION AND INVESTMENT RECOMMENDATIONS</w:t>
            </w:r>
            <w:r>
              <w:rPr>
                <w:noProof/>
                <w:webHidden/>
              </w:rPr>
              <w:tab/>
            </w:r>
            <w:r>
              <w:rPr>
                <w:noProof/>
                <w:webHidden/>
              </w:rPr>
              <w:fldChar w:fldCharType="begin"/>
            </w:r>
            <w:r>
              <w:rPr>
                <w:noProof/>
                <w:webHidden/>
              </w:rPr>
              <w:instrText xml:space="preserve"> PAGEREF _Toc211444680 \h </w:instrText>
            </w:r>
            <w:r>
              <w:rPr>
                <w:noProof/>
                <w:webHidden/>
              </w:rPr>
            </w:r>
            <w:r>
              <w:rPr>
                <w:noProof/>
                <w:webHidden/>
              </w:rPr>
              <w:fldChar w:fldCharType="separate"/>
            </w:r>
            <w:r>
              <w:rPr>
                <w:noProof/>
                <w:webHidden/>
              </w:rPr>
              <w:t>28</w:t>
            </w:r>
            <w:r>
              <w:rPr>
                <w:noProof/>
                <w:webHidden/>
              </w:rPr>
              <w:fldChar w:fldCharType="end"/>
            </w:r>
          </w:hyperlink>
        </w:p>
        <w:p w14:paraId="503BE536" w14:textId="2E9D9BCC" w:rsidR="00EC6897" w:rsidRDefault="00EC6897">
          <w:pPr>
            <w:pStyle w:val="TOC1"/>
            <w:tabs>
              <w:tab w:val="right" w:leader="dot" w:pos="13948"/>
            </w:tabs>
            <w:rPr>
              <w:rFonts w:eastAsiaTheme="minorEastAsia"/>
              <w:noProof/>
              <w:lang w:eastAsia="en-ZA"/>
            </w:rPr>
          </w:pPr>
          <w:hyperlink w:anchor="_Toc211444681" w:history="1">
            <w:r w:rsidRPr="0089336C">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_Toc211444681 \h </w:instrText>
            </w:r>
            <w:r>
              <w:rPr>
                <w:noProof/>
                <w:webHidden/>
              </w:rPr>
            </w:r>
            <w:r>
              <w:rPr>
                <w:noProof/>
                <w:webHidden/>
              </w:rPr>
              <w:fldChar w:fldCharType="separate"/>
            </w:r>
            <w:r>
              <w:rPr>
                <w:noProof/>
                <w:webHidden/>
              </w:rPr>
              <w:t>28</w:t>
            </w:r>
            <w:r>
              <w:rPr>
                <w:noProof/>
                <w:webHidden/>
              </w:rPr>
              <w:fldChar w:fldCharType="end"/>
            </w:r>
          </w:hyperlink>
        </w:p>
        <w:p w14:paraId="353F9985" w14:textId="24D5308B" w:rsidR="003B6AD3" w:rsidRDefault="003B6AD3">
          <w:r>
            <w:rPr>
              <w:b/>
              <w:bCs/>
              <w:noProof/>
            </w:rPr>
            <w:fldChar w:fldCharType="end"/>
          </w:r>
        </w:p>
      </w:sdtContent>
    </w:sdt>
    <w:p w14:paraId="4A970A43" w14:textId="77777777" w:rsidR="004935F3" w:rsidRDefault="004935F3" w:rsidP="00730BE8">
      <w:pPr>
        <w:spacing w:line="360" w:lineRule="auto"/>
        <w:jc w:val="both"/>
        <w:rPr>
          <w:rFonts w:ascii="Times New Roman" w:hAnsi="Times New Roman" w:cs="Times New Roman"/>
          <w:b/>
          <w:bCs/>
          <w:lang w:val="en-US"/>
        </w:rPr>
      </w:pPr>
    </w:p>
    <w:p w14:paraId="5EF67E3F" w14:textId="77777777" w:rsidR="004935F3" w:rsidRDefault="004935F3" w:rsidP="00730BE8">
      <w:pPr>
        <w:spacing w:line="360" w:lineRule="auto"/>
        <w:jc w:val="both"/>
        <w:rPr>
          <w:rFonts w:ascii="Times New Roman" w:hAnsi="Times New Roman" w:cs="Times New Roman"/>
          <w:b/>
          <w:bCs/>
          <w:lang w:val="en-US"/>
        </w:rPr>
      </w:pPr>
    </w:p>
    <w:p w14:paraId="508421F2" w14:textId="77777777" w:rsidR="004935F3" w:rsidRDefault="004935F3" w:rsidP="00730BE8">
      <w:pPr>
        <w:spacing w:line="360" w:lineRule="auto"/>
        <w:jc w:val="both"/>
        <w:rPr>
          <w:rFonts w:ascii="Times New Roman" w:hAnsi="Times New Roman" w:cs="Times New Roman"/>
          <w:b/>
          <w:bCs/>
          <w:lang w:val="en-US"/>
        </w:rPr>
      </w:pPr>
    </w:p>
    <w:p w14:paraId="295EB04E" w14:textId="77777777" w:rsidR="004935F3" w:rsidRDefault="004935F3" w:rsidP="00730BE8">
      <w:pPr>
        <w:spacing w:line="360" w:lineRule="auto"/>
        <w:jc w:val="both"/>
        <w:rPr>
          <w:rFonts w:ascii="Times New Roman" w:hAnsi="Times New Roman" w:cs="Times New Roman"/>
          <w:b/>
          <w:bCs/>
          <w:lang w:val="en-US"/>
        </w:rPr>
      </w:pPr>
    </w:p>
    <w:p w14:paraId="476F084D" w14:textId="77777777" w:rsidR="004935F3" w:rsidRDefault="004935F3" w:rsidP="00730BE8">
      <w:pPr>
        <w:spacing w:line="360" w:lineRule="auto"/>
        <w:jc w:val="both"/>
        <w:rPr>
          <w:rFonts w:ascii="Times New Roman" w:hAnsi="Times New Roman" w:cs="Times New Roman"/>
          <w:b/>
          <w:bCs/>
          <w:lang w:val="en-US"/>
        </w:rPr>
      </w:pPr>
    </w:p>
    <w:p w14:paraId="17930A77" w14:textId="77777777" w:rsidR="004935F3" w:rsidRDefault="004935F3" w:rsidP="00730BE8">
      <w:pPr>
        <w:spacing w:line="360" w:lineRule="auto"/>
        <w:jc w:val="both"/>
        <w:rPr>
          <w:rFonts w:ascii="Times New Roman" w:hAnsi="Times New Roman" w:cs="Times New Roman"/>
          <w:b/>
          <w:bCs/>
          <w:lang w:val="en-US"/>
        </w:rPr>
      </w:pPr>
    </w:p>
    <w:p w14:paraId="0324C05D" w14:textId="77777777" w:rsidR="004935F3" w:rsidRDefault="004935F3" w:rsidP="00730BE8">
      <w:pPr>
        <w:spacing w:line="360" w:lineRule="auto"/>
        <w:jc w:val="both"/>
        <w:rPr>
          <w:rFonts w:ascii="Times New Roman" w:hAnsi="Times New Roman" w:cs="Times New Roman"/>
          <w:b/>
          <w:bCs/>
          <w:lang w:val="en-US"/>
        </w:rPr>
      </w:pPr>
    </w:p>
    <w:p w14:paraId="4009E49A" w14:textId="77777777" w:rsidR="004935F3" w:rsidRDefault="004935F3" w:rsidP="00730BE8">
      <w:pPr>
        <w:spacing w:line="360" w:lineRule="auto"/>
        <w:jc w:val="both"/>
        <w:rPr>
          <w:rFonts w:ascii="Times New Roman" w:hAnsi="Times New Roman" w:cs="Times New Roman"/>
          <w:b/>
          <w:bCs/>
          <w:lang w:val="en-US"/>
        </w:rPr>
      </w:pPr>
    </w:p>
    <w:p w14:paraId="7EA060A0" w14:textId="77777777" w:rsidR="004935F3" w:rsidRDefault="004935F3" w:rsidP="00730BE8">
      <w:pPr>
        <w:spacing w:line="360" w:lineRule="auto"/>
        <w:jc w:val="both"/>
        <w:rPr>
          <w:rFonts w:ascii="Times New Roman" w:hAnsi="Times New Roman" w:cs="Times New Roman"/>
          <w:b/>
          <w:bCs/>
          <w:lang w:val="en-US"/>
        </w:rPr>
      </w:pPr>
    </w:p>
    <w:p w14:paraId="683BB127" w14:textId="77777777" w:rsidR="004935F3" w:rsidRDefault="004935F3" w:rsidP="00730BE8">
      <w:pPr>
        <w:spacing w:line="360" w:lineRule="auto"/>
        <w:jc w:val="both"/>
        <w:rPr>
          <w:rFonts w:ascii="Times New Roman" w:hAnsi="Times New Roman" w:cs="Times New Roman"/>
          <w:b/>
          <w:bCs/>
          <w:lang w:val="en-US"/>
        </w:rPr>
      </w:pPr>
    </w:p>
    <w:p w14:paraId="32F9316B" w14:textId="77777777" w:rsidR="004935F3" w:rsidRDefault="004935F3" w:rsidP="00730BE8">
      <w:pPr>
        <w:spacing w:line="360" w:lineRule="auto"/>
        <w:jc w:val="both"/>
        <w:rPr>
          <w:rFonts w:ascii="Times New Roman" w:hAnsi="Times New Roman" w:cs="Times New Roman"/>
          <w:b/>
          <w:bCs/>
          <w:lang w:val="en-US"/>
        </w:rPr>
      </w:pPr>
    </w:p>
    <w:p w14:paraId="4CCD01DD" w14:textId="77777777" w:rsidR="004935F3" w:rsidRDefault="004935F3" w:rsidP="00730BE8">
      <w:pPr>
        <w:spacing w:line="360" w:lineRule="auto"/>
        <w:jc w:val="both"/>
        <w:rPr>
          <w:rFonts w:ascii="Times New Roman" w:hAnsi="Times New Roman" w:cs="Times New Roman"/>
          <w:b/>
          <w:bCs/>
          <w:lang w:val="en-US"/>
        </w:rPr>
      </w:pPr>
    </w:p>
    <w:p w14:paraId="36977826" w14:textId="77777777" w:rsidR="004935F3" w:rsidRDefault="004935F3" w:rsidP="00730BE8">
      <w:pPr>
        <w:spacing w:line="360" w:lineRule="auto"/>
        <w:jc w:val="both"/>
        <w:rPr>
          <w:rFonts w:ascii="Times New Roman" w:hAnsi="Times New Roman" w:cs="Times New Roman"/>
          <w:b/>
          <w:bCs/>
          <w:lang w:val="en-US"/>
        </w:rPr>
      </w:pPr>
    </w:p>
    <w:p w14:paraId="660430E9" w14:textId="77777777" w:rsidR="004935F3" w:rsidRDefault="004935F3" w:rsidP="00730BE8">
      <w:pPr>
        <w:spacing w:line="360" w:lineRule="auto"/>
        <w:jc w:val="both"/>
        <w:rPr>
          <w:rFonts w:ascii="Times New Roman" w:hAnsi="Times New Roman" w:cs="Times New Roman"/>
          <w:b/>
          <w:bCs/>
          <w:lang w:val="en-US"/>
        </w:rPr>
      </w:pPr>
    </w:p>
    <w:p w14:paraId="7BE2A76D" w14:textId="77777777" w:rsidR="004935F3" w:rsidRDefault="004935F3" w:rsidP="00730BE8">
      <w:pPr>
        <w:spacing w:line="360" w:lineRule="auto"/>
        <w:jc w:val="both"/>
        <w:rPr>
          <w:rFonts w:ascii="Times New Roman" w:hAnsi="Times New Roman" w:cs="Times New Roman"/>
          <w:b/>
          <w:bCs/>
          <w:lang w:val="en-US"/>
        </w:rPr>
      </w:pPr>
    </w:p>
    <w:p w14:paraId="6D33A505" w14:textId="6EBF8473" w:rsidR="004935F3" w:rsidRPr="00D86105" w:rsidRDefault="004935F3" w:rsidP="00D86105">
      <w:pPr>
        <w:pStyle w:val="Heading1"/>
        <w:rPr>
          <w:rFonts w:asciiTheme="majorBidi" w:eastAsia="Aptos" w:hAnsiTheme="majorBidi"/>
          <w:color w:val="auto"/>
          <w:sz w:val="24"/>
          <w:szCs w:val="24"/>
          <w:lang w:val="en-US"/>
        </w:rPr>
      </w:pPr>
      <w:bookmarkStart w:id="0" w:name="_Toc211444669"/>
      <w:r w:rsidRPr="00D86105">
        <w:rPr>
          <w:rFonts w:asciiTheme="majorBidi" w:eastAsia="Aptos" w:hAnsiTheme="majorBidi"/>
          <w:color w:val="auto"/>
          <w:sz w:val="24"/>
          <w:szCs w:val="24"/>
          <w:lang w:val="en-US"/>
        </w:rPr>
        <w:lastRenderedPageBreak/>
        <w:t>INTRODUCTION</w:t>
      </w:r>
      <w:bookmarkEnd w:id="0"/>
    </w:p>
    <w:p w14:paraId="4504F5E7" w14:textId="6C2573F0" w:rsidR="00C51383" w:rsidRPr="00D86105" w:rsidRDefault="00C51383" w:rsidP="00D86105">
      <w:pPr>
        <w:pStyle w:val="Heading2"/>
        <w:rPr>
          <w:rFonts w:asciiTheme="majorBidi" w:eastAsia="Aptos" w:hAnsiTheme="majorBidi"/>
          <w:color w:val="auto"/>
          <w:sz w:val="24"/>
          <w:szCs w:val="24"/>
          <w:lang w:val="en-US"/>
        </w:rPr>
      </w:pPr>
      <w:bookmarkStart w:id="1" w:name="_Toc211444670"/>
      <w:r w:rsidRPr="00D86105">
        <w:rPr>
          <w:rFonts w:asciiTheme="majorBidi" w:eastAsia="Aptos" w:hAnsiTheme="majorBidi"/>
          <w:color w:val="auto"/>
          <w:sz w:val="24"/>
          <w:szCs w:val="24"/>
          <w:lang w:val="en-US"/>
        </w:rPr>
        <w:t>1.1 Business description</w:t>
      </w:r>
      <w:bookmarkEnd w:id="1"/>
      <w:r w:rsidRPr="00D86105">
        <w:rPr>
          <w:rFonts w:asciiTheme="majorBidi" w:eastAsia="Aptos" w:hAnsiTheme="majorBidi"/>
          <w:color w:val="auto"/>
          <w:sz w:val="24"/>
          <w:szCs w:val="24"/>
          <w:lang w:val="en-US"/>
        </w:rPr>
        <w:t xml:space="preserve"> </w:t>
      </w:r>
    </w:p>
    <w:p w14:paraId="4B6C6FDB" w14:textId="77777777" w:rsidR="00D849DA" w:rsidRPr="00C457E4" w:rsidRDefault="00D849DA" w:rsidP="00D849DA">
      <w:pPr>
        <w:spacing w:line="360" w:lineRule="auto"/>
        <w:ind w:left="360"/>
        <w:rPr>
          <w:rFonts w:ascii="Times New Roman" w:eastAsia="Aptos" w:hAnsi="Times New Roman" w:cs="Times New Roman"/>
        </w:rPr>
      </w:pPr>
      <w:r w:rsidRPr="00C457E4">
        <w:rPr>
          <w:rFonts w:ascii="Times New Roman" w:eastAsia="Aptos" w:hAnsi="Times New Roman" w:cs="Times New Roman"/>
        </w:rPr>
        <w:t>Shoprite Holdings Limited is one of the largest retail chains in Africa, with its headquarters in Cape Town, South Africa. Established in 1979, Shoprite has grown to become a dominant player in the retail sector, boasting over 2,900 stores in 15 countries across Africa (Shoprite Holdings, 2023). The company offers a diverse range of products, including groceries, fresh produce, homeware, clothing and financial services, making it a one-stop shop for many consumers.</w:t>
      </w:r>
    </w:p>
    <w:p w14:paraId="1A0C07BB" w14:textId="77777777" w:rsidR="00D849DA" w:rsidRPr="00C457E4" w:rsidRDefault="00D849DA" w:rsidP="00D849DA">
      <w:pPr>
        <w:spacing w:line="360" w:lineRule="auto"/>
        <w:ind w:left="360"/>
        <w:rPr>
          <w:rFonts w:ascii="Times New Roman" w:eastAsia="Aptos" w:hAnsi="Times New Roman" w:cs="Times New Roman"/>
        </w:rPr>
      </w:pPr>
      <w:r w:rsidRPr="00C457E4">
        <w:rPr>
          <w:rFonts w:ascii="Times New Roman" w:eastAsia="Aptos" w:hAnsi="Times New Roman" w:cs="Times New Roman"/>
        </w:rPr>
        <w:t xml:space="preserve">The company’s primary market is South Africa, where it commands a significant share of the grocery retail sector. According to Shoprite Holdings (2023), the brand serves over 24 million customers monthly and employs more than 140,000 people, contributing substantially to the country’s economy. Its customer-centric approach, extensive supply chain and competitive pricing have enabled it to maintain a strong position against other retail competitors, such as Pick </w:t>
      </w:r>
      <w:proofErr w:type="spellStart"/>
      <w:r w:rsidRPr="00C457E4">
        <w:rPr>
          <w:rFonts w:ascii="Times New Roman" w:eastAsia="Aptos" w:hAnsi="Times New Roman" w:cs="Times New Roman"/>
        </w:rPr>
        <w:t>n</w:t>
      </w:r>
      <w:proofErr w:type="spellEnd"/>
      <w:r w:rsidRPr="00C457E4">
        <w:rPr>
          <w:rFonts w:ascii="Times New Roman" w:eastAsia="Aptos" w:hAnsi="Times New Roman" w:cs="Times New Roman"/>
        </w:rPr>
        <w:t xml:space="preserve"> Pay and Woolworths (Euromonitor International, 2022).</w:t>
      </w:r>
    </w:p>
    <w:p w14:paraId="5A914096" w14:textId="77777777" w:rsidR="00D849DA" w:rsidRPr="00C457E4" w:rsidRDefault="00D849DA" w:rsidP="00D849DA">
      <w:pPr>
        <w:spacing w:line="360" w:lineRule="auto"/>
        <w:ind w:left="360"/>
        <w:rPr>
          <w:rFonts w:ascii="Times New Roman" w:eastAsia="Aptos" w:hAnsi="Times New Roman" w:cs="Times New Roman"/>
        </w:rPr>
      </w:pPr>
      <w:r w:rsidRPr="00C457E4">
        <w:rPr>
          <w:rFonts w:ascii="Times New Roman" w:eastAsia="Aptos" w:hAnsi="Times New Roman" w:cs="Times New Roman"/>
        </w:rPr>
        <w:t>In recent years, Shoprite has invested heavily in technology and digital transformation, including the launch of its e-commerce platform, Checkers Sixty60, which provides delivery services within 60 minutes (Shoprite Holdings, 2023). This move reflects the company's adaptability to changing consumer preferences and the increasing trend toward online shopping, particularly accelerated by the COVID-19 pandemic (PwC, 2021). It has allowed Shoprite to enhance its customer experience and expand its market reach.</w:t>
      </w:r>
    </w:p>
    <w:p w14:paraId="1167A86A" w14:textId="77777777" w:rsidR="00D849DA" w:rsidRPr="00C457E4" w:rsidRDefault="00D849DA" w:rsidP="00D849DA">
      <w:pPr>
        <w:spacing w:line="360" w:lineRule="auto"/>
        <w:ind w:left="360"/>
        <w:rPr>
          <w:rFonts w:ascii="Times New Roman" w:eastAsia="Aptos" w:hAnsi="Times New Roman" w:cs="Times New Roman"/>
        </w:rPr>
      </w:pPr>
      <w:r w:rsidRPr="00C457E4">
        <w:rPr>
          <w:rFonts w:ascii="Times New Roman" w:eastAsia="Aptos" w:hAnsi="Times New Roman" w:cs="Times New Roman"/>
        </w:rPr>
        <w:t>Furthermore, Shoprite's sustainability initiatives and corporate social responsibility programmes have contributed to its reputation as a responsible retailer. The company focuses on reducing its environmental footprint by implementing waste reduction programmes and promoting the use of renewable energy (Shoprite Holdings, 2023). Its efforts to support local communities and suppliers have also reinforced its position as a trusted brand, emphasising the company’s commitment to sustainable growth and economic development in Africa.</w:t>
      </w:r>
    </w:p>
    <w:p w14:paraId="50B4AFE4" w14:textId="77777777" w:rsidR="00D849DA" w:rsidRPr="00D86105" w:rsidRDefault="00D849DA" w:rsidP="00D86105">
      <w:pPr>
        <w:pStyle w:val="Heading3"/>
        <w:rPr>
          <w:rFonts w:asciiTheme="majorBidi" w:eastAsia="Aptos" w:hAnsiTheme="majorBidi"/>
          <w:color w:val="auto"/>
          <w:sz w:val="24"/>
          <w:szCs w:val="24"/>
        </w:rPr>
      </w:pPr>
      <w:bookmarkStart w:id="2" w:name="_Toc211444671"/>
      <w:r w:rsidRPr="00D86105">
        <w:rPr>
          <w:rFonts w:asciiTheme="majorBidi" w:eastAsia="Aptos" w:hAnsiTheme="majorBidi"/>
          <w:color w:val="auto"/>
          <w:sz w:val="24"/>
          <w:szCs w:val="24"/>
        </w:rPr>
        <w:lastRenderedPageBreak/>
        <w:t xml:space="preserve">1.2 </w:t>
      </w:r>
      <w:r w:rsidRPr="00D86105">
        <w:rPr>
          <w:rFonts w:asciiTheme="majorBidi" w:eastAsia="Aptos" w:hAnsiTheme="majorBidi"/>
          <w:b/>
          <w:bCs/>
          <w:color w:val="auto"/>
          <w:sz w:val="24"/>
          <w:szCs w:val="24"/>
        </w:rPr>
        <w:t>Macroeconomics variables’ impact on company’s revenues, costs, and profitability</w:t>
      </w:r>
      <w:bookmarkEnd w:id="2"/>
    </w:p>
    <w:p w14:paraId="3ECC9F4F" w14:textId="77777777" w:rsidR="00D849DA" w:rsidRPr="00C457E4" w:rsidRDefault="00D849DA" w:rsidP="00D849DA">
      <w:pPr>
        <w:spacing w:line="360" w:lineRule="auto"/>
        <w:ind w:left="360"/>
        <w:contextualSpacing/>
        <w:rPr>
          <w:rFonts w:ascii="Times New Roman" w:eastAsia="Aptos" w:hAnsi="Times New Roman" w:cs="Times New Roman"/>
        </w:rPr>
      </w:pPr>
      <w:r w:rsidRPr="00C457E4">
        <w:rPr>
          <w:rFonts w:ascii="Times New Roman" w:eastAsia="Aptos" w:hAnsi="Times New Roman" w:cs="Times New Roman"/>
        </w:rPr>
        <w:t xml:space="preserve"> According to Osoro and </w:t>
      </w:r>
      <w:proofErr w:type="spellStart"/>
      <w:r w:rsidRPr="00C457E4">
        <w:rPr>
          <w:rFonts w:ascii="Times New Roman" w:eastAsia="Aptos" w:hAnsi="Times New Roman" w:cs="Times New Roman"/>
        </w:rPr>
        <w:t>Ogoto</w:t>
      </w:r>
      <w:proofErr w:type="spellEnd"/>
      <w:r w:rsidRPr="00C457E4">
        <w:rPr>
          <w:rFonts w:ascii="Times New Roman" w:eastAsia="Aptos" w:hAnsi="Times New Roman" w:cs="Times New Roman"/>
        </w:rPr>
        <w:t xml:space="preserve"> (2014), the effects of inflation are two sided: effect on the aggregate demand and effect on the cost of production. During periods of high inflation, consumers with fixed income have a low purchasing power due to the reduced value of money hence reduced demand for products. This affects sales revenue for businesses like supermarkets and therefore reducing profitability. Osoro and </w:t>
      </w:r>
      <w:proofErr w:type="spellStart"/>
      <w:r w:rsidRPr="00C457E4">
        <w:rPr>
          <w:rFonts w:ascii="Times New Roman" w:eastAsia="Aptos" w:hAnsi="Times New Roman" w:cs="Times New Roman"/>
        </w:rPr>
        <w:t>Ogoto</w:t>
      </w:r>
      <w:proofErr w:type="spellEnd"/>
      <w:r w:rsidRPr="00C457E4">
        <w:rPr>
          <w:rFonts w:ascii="Times New Roman" w:eastAsia="Aptos" w:hAnsi="Times New Roman" w:cs="Times New Roman"/>
        </w:rPr>
        <w:t xml:space="preserve"> (2014) further state that inflation increases the cost of production and the general operating costs and this imposes a further blow on profitability levels.</w:t>
      </w:r>
    </w:p>
    <w:p w14:paraId="4B087F9A" w14:textId="77777777" w:rsidR="00D849DA" w:rsidRPr="00C457E4" w:rsidRDefault="00D849DA" w:rsidP="00D849DA">
      <w:pPr>
        <w:spacing w:line="360" w:lineRule="auto"/>
        <w:ind w:left="360"/>
        <w:contextualSpacing/>
        <w:rPr>
          <w:rFonts w:ascii="Times New Roman" w:eastAsia="Aptos" w:hAnsi="Times New Roman" w:cs="Times New Roman"/>
        </w:rPr>
      </w:pPr>
    </w:p>
    <w:p w14:paraId="201411FC" w14:textId="77777777" w:rsidR="00D849DA" w:rsidRPr="00C457E4" w:rsidRDefault="00D849DA" w:rsidP="00D849DA">
      <w:pPr>
        <w:spacing w:line="360" w:lineRule="auto"/>
        <w:ind w:left="360"/>
        <w:contextualSpacing/>
        <w:rPr>
          <w:rFonts w:ascii="Times New Roman" w:eastAsia="Aptos" w:hAnsi="Times New Roman" w:cs="Times New Roman"/>
        </w:rPr>
      </w:pPr>
      <w:r w:rsidRPr="00C457E4">
        <w:rPr>
          <w:rFonts w:ascii="Times New Roman" w:eastAsia="Aptos" w:hAnsi="Times New Roman" w:cs="Times New Roman"/>
        </w:rPr>
        <w:t xml:space="preserve">Hodges (2014) definition, which states that unemployment is a state of joblessness that occurs when people are without </w:t>
      </w:r>
      <w:proofErr w:type="gramStart"/>
      <w:r w:rsidRPr="00C457E4">
        <w:rPr>
          <w:rFonts w:ascii="Times New Roman" w:eastAsia="Aptos" w:hAnsi="Times New Roman" w:cs="Times New Roman"/>
        </w:rPr>
        <w:t>jobs</w:t>
      </w:r>
      <w:proofErr w:type="gramEnd"/>
      <w:r w:rsidRPr="00C457E4">
        <w:rPr>
          <w:rFonts w:ascii="Times New Roman" w:eastAsia="Aptos" w:hAnsi="Times New Roman" w:cs="Times New Roman"/>
        </w:rPr>
        <w:t xml:space="preserve"> and they have actively sought work within the past four weeks. Therefore, unemployment can be seen as a condition whereby workers are involuntarily out of work </w:t>
      </w:r>
      <w:proofErr w:type="spellStart"/>
      <w:r w:rsidRPr="00C457E4">
        <w:rPr>
          <w:rFonts w:ascii="Times New Roman" w:eastAsia="Aptos" w:hAnsi="Times New Roman" w:cs="Times New Roman"/>
        </w:rPr>
        <w:t>Balami</w:t>
      </w:r>
      <w:proofErr w:type="spellEnd"/>
      <w:r w:rsidRPr="00C457E4">
        <w:rPr>
          <w:rFonts w:ascii="Times New Roman" w:eastAsia="Aptos" w:hAnsi="Times New Roman" w:cs="Times New Roman"/>
        </w:rPr>
        <w:t xml:space="preserve"> (2006). </w:t>
      </w:r>
      <w:proofErr w:type="spellStart"/>
      <w:r w:rsidRPr="00C457E4">
        <w:rPr>
          <w:rFonts w:ascii="Times New Roman" w:eastAsia="Aptos" w:hAnsi="Times New Roman" w:cs="Times New Roman"/>
        </w:rPr>
        <w:t>Bekeris</w:t>
      </w:r>
      <w:proofErr w:type="spellEnd"/>
      <w:r w:rsidRPr="00C457E4">
        <w:rPr>
          <w:rFonts w:ascii="Times New Roman" w:eastAsia="Aptos" w:hAnsi="Times New Roman" w:cs="Times New Roman"/>
        </w:rPr>
        <w:t xml:space="preserve"> (2012) shows that high unemployment, as regarded from only the company’s point of view has an advantage in that it results in cheap and free labour and results in low staff or labour costs for companies. This results in improvement in profitability levels since corporate profitability depends on the salaries and wages paid to employees, among other cost drivers.</w:t>
      </w:r>
    </w:p>
    <w:p w14:paraId="3D02BE9F" w14:textId="77777777" w:rsidR="00D849DA" w:rsidRPr="00C457E4" w:rsidRDefault="00D849DA" w:rsidP="00D849DA">
      <w:pPr>
        <w:spacing w:line="360" w:lineRule="auto"/>
        <w:ind w:left="360"/>
        <w:contextualSpacing/>
        <w:rPr>
          <w:rFonts w:ascii="Times New Roman" w:eastAsia="Aptos" w:hAnsi="Times New Roman" w:cs="Times New Roman"/>
        </w:rPr>
      </w:pPr>
    </w:p>
    <w:p w14:paraId="62A37D71" w14:textId="2D57BDF1" w:rsidR="004935F3" w:rsidRPr="00C457E4" w:rsidRDefault="00D849DA" w:rsidP="00D849DA">
      <w:pPr>
        <w:spacing w:line="360" w:lineRule="auto"/>
        <w:ind w:left="360"/>
        <w:contextualSpacing/>
        <w:rPr>
          <w:rFonts w:ascii="Times New Roman" w:eastAsia="Aptos" w:hAnsi="Times New Roman" w:cs="Times New Roman"/>
        </w:rPr>
      </w:pPr>
      <w:r w:rsidRPr="00C457E4">
        <w:rPr>
          <w:rFonts w:ascii="Times New Roman" w:eastAsia="Aptos" w:hAnsi="Times New Roman" w:cs="Times New Roman"/>
        </w:rPr>
        <w:t xml:space="preserve">High interest rates have the effect of reducing investment because they represent a high cost of borrowing and this affect the pooling in of business production resources. Since interest rate is the price of money and it is what must be paid to borrow someone else’s money for a given </w:t>
      </w:r>
      <w:proofErr w:type="gramStart"/>
      <w:r w:rsidRPr="00C457E4">
        <w:rPr>
          <w:rFonts w:ascii="Times New Roman" w:eastAsia="Aptos" w:hAnsi="Times New Roman" w:cs="Times New Roman"/>
        </w:rPr>
        <w:t>period of time</w:t>
      </w:r>
      <w:proofErr w:type="gramEnd"/>
      <w:r w:rsidRPr="00C457E4">
        <w:rPr>
          <w:rFonts w:ascii="Times New Roman" w:eastAsia="Aptos" w:hAnsi="Times New Roman" w:cs="Times New Roman"/>
        </w:rPr>
        <w:t xml:space="preserve">, the increase in the interest rate results in less borrowing by consumers and less investment in capital by firms (McConnell &amp; Brue, 2023). Ajagbe (2012) points out that high interest rate makes borrowing of capital </w:t>
      </w:r>
      <w:proofErr w:type="gramStart"/>
      <w:r w:rsidRPr="00C457E4">
        <w:rPr>
          <w:rFonts w:ascii="Times New Roman" w:eastAsia="Aptos" w:hAnsi="Times New Roman" w:cs="Times New Roman"/>
        </w:rPr>
        <w:t>expensive thus;</w:t>
      </w:r>
      <w:proofErr w:type="gramEnd"/>
      <w:r w:rsidRPr="00C457E4">
        <w:rPr>
          <w:rFonts w:ascii="Times New Roman" w:eastAsia="Aptos" w:hAnsi="Times New Roman" w:cs="Times New Roman"/>
        </w:rPr>
        <w:t xml:space="preserve"> companies that are highly geared would have high costs of finance charged in their income </w:t>
      </w:r>
      <w:proofErr w:type="gramStart"/>
      <w:r w:rsidRPr="00C457E4">
        <w:rPr>
          <w:rFonts w:ascii="Times New Roman" w:eastAsia="Aptos" w:hAnsi="Times New Roman" w:cs="Times New Roman"/>
        </w:rPr>
        <w:t>statements</w:t>
      </w:r>
      <w:proofErr w:type="gramEnd"/>
      <w:r w:rsidRPr="00C457E4">
        <w:rPr>
          <w:rFonts w:ascii="Times New Roman" w:eastAsia="Aptos" w:hAnsi="Times New Roman" w:cs="Times New Roman"/>
        </w:rPr>
        <w:t xml:space="preserve"> hence reducing profitability</w:t>
      </w:r>
      <w:r w:rsidR="004935F3" w:rsidRPr="00C457E4">
        <w:rPr>
          <w:rFonts w:ascii="Times New Roman" w:eastAsia="Aptos" w:hAnsi="Times New Roman" w:cs="Times New Roman"/>
        </w:rPr>
        <w:t>.</w:t>
      </w:r>
    </w:p>
    <w:p w14:paraId="4925EBB3" w14:textId="77777777" w:rsidR="004935F3" w:rsidRPr="00C457E4" w:rsidRDefault="004935F3" w:rsidP="00C457E4">
      <w:pPr>
        <w:spacing w:line="360" w:lineRule="auto"/>
        <w:contextualSpacing/>
        <w:jc w:val="both"/>
        <w:rPr>
          <w:rFonts w:ascii="Times New Roman" w:eastAsia="Aptos" w:hAnsi="Times New Roman" w:cs="Times New Roman"/>
        </w:rPr>
      </w:pPr>
    </w:p>
    <w:p w14:paraId="16A686D0" w14:textId="12292E3C" w:rsidR="00C51383" w:rsidRPr="003B6AD3" w:rsidRDefault="003B6AD3" w:rsidP="003B6AD3">
      <w:pPr>
        <w:pStyle w:val="Heading1"/>
        <w:rPr>
          <w:rFonts w:asciiTheme="majorBidi" w:eastAsia="Aptos" w:hAnsiTheme="majorBidi"/>
          <w:b/>
          <w:bCs/>
          <w:color w:val="auto"/>
          <w:sz w:val="24"/>
          <w:szCs w:val="24"/>
        </w:rPr>
      </w:pPr>
      <w:bookmarkStart w:id="3" w:name="_Toc211444672"/>
      <w:r>
        <w:rPr>
          <w:rFonts w:asciiTheme="majorBidi" w:eastAsia="Calibri" w:hAnsiTheme="majorBidi"/>
          <w:b/>
          <w:bCs/>
          <w:color w:val="auto"/>
          <w:sz w:val="24"/>
          <w:szCs w:val="24"/>
        </w:rPr>
        <w:lastRenderedPageBreak/>
        <w:t xml:space="preserve">2. </w:t>
      </w:r>
      <w:r w:rsidR="004935F3" w:rsidRPr="003B6AD3">
        <w:rPr>
          <w:rFonts w:asciiTheme="majorBidi" w:eastAsia="Calibri" w:hAnsiTheme="majorBidi"/>
          <w:b/>
          <w:bCs/>
          <w:color w:val="auto"/>
          <w:sz w:val="24"/>
          <w:szCs w:val="24"/>
        </w:rPr>
        <w:t>INDUSTRY ANALYSIS (RETAIL INDUSTRY IN SOUTH AFRICA)</w:t>
      </w:r>
      <w:bookmarkEnd w:id="3"/>
    </w:p>
    <w:p w14:paraId="1D53019C"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Retailing is a socio-economic phenomenon that facilitates the exchange of goods and services between manufacturers, agriculturists, and end-consumers, thereby satisfying daily needs and promoting lifestyles that contribute to community well-being (</w:t>
      </w:r>
      <w:proofErr w:type="spellStart"/>
      <w:r w:rsidRPr="00C457E4">
        <w:rPr>
          <w:rFonts w:ascii="Times New Roman" w:eastAsia="Calibri" w:hAnsi="Times New Roman" w:cs="Times New Roman"/>
          <w:kern w:val="0"/>
          <w14:ligatures w14:val="none"/>
        </w:rPr>
        <w:t>Rudrabasavaraj</w:t>
      </w:r>
      <w:proofErr w:type="spellEnd"/>
      <w:r w:rsidRPr="00C457E4">
        <w:rPr>
          <w:rFonts w:ascii="Times New Roman" w:eastAsia="Calibri" w:hAnsi="Times New Roman" w:cs="Times New Roman"/>
          <w:kern w:val="0"/>
          <w14:ligatures w14:val="none"/>
        </w:rPr>
        <w:t xml:space="preserve">, 2010). According to Amit &amp; Kameshvari (2014), retailing involves marketing goods and services to final consumers for personal or household consumption, making them widely available while offering them in smaller quantities. The retail industry has undergone significant transformations, impacting production, distribution, and consumption patterns globally. Many leading economies now rely on retail as a key driver of growth (Gautam, 2023). However, retailers operate in a dynamic and challenging environment, marked by both opportunities and risks. </w:t>
      </w:r>
    </w:p>
    <w:p w14:paraId="14717892"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The South African economy has undergone a notable transformation, moving away from traditional industries like mining and manufacturing towards service-oriented sectors like retail and wholesale trade. This shift, which began in the 1990s, has positioned retail as a key player in the country's economic landscape (</w:t>
      </w:r>
      <w:proofErr w:type="spellStart"/>
      <w:r w:rsidRPr="00C457E4">
        <w:rPr>
          <w:rFonts w:ascii="Times New Roman" w:eastAsia="Calibri" w:hAnsi="Times New Roman" w:cs="Times New Roman"/>
          <w:kern w:val="0"/>
          <w14:ligatures w14:val="none"/>
        </w:rPr>
        <w:t>Mandipa</w:t>
      </w:r>
      <w:proofErr w:type="spellEnd"/>
      <w:r w:rsidRPr="00C457E4">
        <w:rPr>
          <w:rFonts w:ascii="Times New Roman" w:eastAsia="Calibri" w:hAnsi="Times New Roman" w:cs="Times New Roman"/>
          <w:kern w:val="0"/>
          <w14:ligatures w14:val="none"/>
        </w:rPr>
        <w:t xml:space="preserve"> &amp; Sibindi, 2022). With a significant portion of the workforce employed in this sector around 22% according to recent statistics the retail industry's performance has a substantial impact on the broader economy (Stats SA, 2021).</w:t>
      </w:r>
    </w:p>
    <w:p w14:paraId="602B23AC" w14:textId="77777777" w:rsidR="004935F3" w:rsidRPr="003B6AD3" w:rsidRDefault="004935F3" w:rsidP="003B6AD3">
      <w:pPr>
        <w:pStyle w:val="Heading2"/>
        <w:rPr>
          <w:rFonts w:asciiTheme="majorBidi" w:eastAsia="Calibri" w:hAnsiTheme="majorBidi"/>
          <w:b/>
          <w:bCs/>
          <w:color w:val="auto"/>
          <w:sz w:val="24"/>
          <w:szCs w:val="24"/>
        </w:rPr>
      </w:pPr>
      <w:bookmarkStart w:id="4" w:name="_Toc211444673"/>
      <w:r w:rsidRPr="003B6AD3">
        <w:rPr>
          <w:rFonts w:asciiTheme="majorBidi" w:eastAsia="Calibri" w:hAnsiTheme="majorBidi"/>
          <w:b/>
          <w:bCs/>
          <w:color w:val="auto"/>
          <w:sz w:val="24"/>
          <w:szCs w:val="24"/>
        </w:rPr>
        <w:t>2.1 Porters’ Five Forces Model</w:t>
      </w:r>
      <w:bookmarkEnd w:id="4"/>
    </w:p>
    <w:p w14:paraId="720464E2"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One of the most recognized and widely utilized analytical frameworks for evaluating competition within an industry is Michael Porter’s Five Forces Model. Many scholars have argued that this model continues to be a foundation in strategic management for understanding the nature of industry structure and profitability (Dobbs, 2014; Lee &amp; Rha, 2018). Porter (2008) argues that competition in any industry is not just manifested through the competing firms producing similar products and services. Rather, competition stems from a larger market context and relationships that result in prices, costs, and investment choices related to the industry.</w:t>
      </w:r>
    </w:p>
    <w:p w14:paraId="2D9F256B"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 xml:space="preserve">The model defines five forces that determine the degree of competitive rivalry and attractiveness of an industry: Threat of new entrants, Threat of substitute products or services, </w:t>
      </w:r>
      <w:proofErr w:type="gramStart"/>
      <w:r w:rsidRPr="00C457E4">
        <w:rPr>
          <w:rFonts w:ascii="Times New Roman" w:eastAsia="Calibri" w:hAnsi="Times New Roman" w:cs="Times New Roman"/>
          <w:kern w:val="0"/>
          <w14:ligatures w14:val="none"/>
        </w:rPr>
        <w:t>Bargaining</w:t>
      </w:r>
      <w:proofErr w:type="gramEnd"/>
      <w:r w:rsidRPr="00C457E4">
        <w:rPr>
          <w:rFonts w:ascii="Times New Roman" w:eastAsia="Calibri" w:hAnsi="Times New Roman" w:cs="Times New Roman"/>
          <w:kern w:val="0"/>
          <w14:ligatures w14:val="none"/>
        </w:rPr>
        <w:t xml:space="preserve"> power of buyers, Bargaining power of suppliers, and Rivalry among existing competitors (Porter, 2008; Dobbs, 2014). By reviewing the five forces, the manager can create an understanding of the level of competitive pressure on the industry, while identifying sources of possible competitive advantage</w:t>
      </w:r>
    </w:p>
    <w:p w14:paraId="4D6B4254"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lastRenderedPageBreak/>
        <w:t>This framework allows organizations to align their internal capabilities and strategies with external market conditions to realize sustainable performance (Lee et al., 2012). Porter's Five Forces continues to provide a useful framework for understanding how firms can anticipate changes in industry structure, assess profitability, and develop a competitive strategy reflective of market conditions (Dobbs, 2014).</w:t>
      </w:r>
    </w:p>
    <w:p w14:paraId="26DC5CCB" w14:textId="77777777" w:rsidR="004935F3" w:rsidRPr="003B6AD3" w:rsidRDefault="004935F3" w:rsidP="003B6AD3">
      <w:pPr>
        <w:pStyle w:val="Heading3"/>
        <w:rPr>
          <w:rFonts w:asciiTheme="majorBidi" w:eastAsia="Calibri" w:hAnsiTheme="majorBidi"/>
          <w:b/>
          <w:bCs/>
          <w:color w:val="auto"/>
          <w:sz w:val="24"/>
          <w:szCs w:val="24"/>
        </w:rPr>
      </w:pPr>
      <w:bookmarkStart w:id="5" w:name="_Toc211444674"/>
      <w:r w:rsidRPr="003B6AD3">
        <w:rPr>
          <w:rFonts w:asciiTheme="majorBidi" w:eastAsia="Calibri" w:hAnsiTheme="majorBidi"/>
          <w:b/>
          <w:bCs/>
          <w:color w:val="auto"/>
          <w:sz w:val="24"/>
          <w:szCs w:val="24"/>
        </w:rPr>
        <w:t>2.2 Application of Porter’s five forces In Shoprite</w:t>
      </w:r>
      <w:bookmarkEnd w:id="5"/>
      <w:r w:rsidRPr="003B6AD3">
        <w:rPr>
          <w:rFonts w:asciiTheme="majorBidi" w:eastAsia="Calibri" w:hAnsiTheme="majorBidi"/>
          <w:b/>
          <w:bCs/>
          <w:color w:val="auto"/>
          <w:sz w:val="24"/>
          <w:szCs w:val="24"/>
        </w:rPr>
        <w:t xml:space="preserve"> </w:t>
      </w:r>
    </w:p>
    <w:p w14:paraId="6EE0AE23"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t xml:space="preserve">(1) Threat of new entrants </w:t>
      </w:r>
    </w:p>
    <w:p w14:paraId="3C855F1D"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 xml:space="preserve">According to Porter’s Five Forces framework, the threat of new entrants into an industry depends heavily on the barriers to entry related to capital requirements, access to retail sites, economies of scale, and the ability to compete on price and service (Dobbs, 2014). </w:t>
      </w:r>
    </w:p>
    <w:p w14:paraId="639EB2AD"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In the case of Shoprite, the entry of Walmart through its acquisition of a 51% stake in Massmart in 2011 introduced a formidable new competitor, leveraging significant financial resources and global sourcing efficiencies (Shoprite holdings, 2025). This raised the capital threshold for competitors aiming to challenge Shoprite’s market position, as Walmart’s entry intensified competition and accelerated innovation in pricing strategies, notably through its “Everyday Low Prices” approach (Shoprite holding, 2025).</w:t>
      </w:r>
    </w:p>
    <w:p w14:paraId="5A397A34"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Capital requirements are substantial for new entrants seeking to expand within the African retail market, as acquiring and developing quality trading sites is both costly and essential for market penetration. Shoprite's decision to raise R8 billion in capital highlights the strategic imperative to invest in expansion and infrastructure to maintain competitive advantage (Shoprite holding, 2024).</w:t>
      </w:r>
    </w:p>
    <w:p w14:paraId="6A11F12F"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Customer switching costs in retail are generally low, primarily based on price sensitivity and brand loyalty. However, securing prime retail space and establishing efficient supply chains pose significant barriers to new entrants. Existing players like Shoprite benefit from established logistics networks and brand trust, making it harder for new entrants to gain immediate traction (Wormald, 2013).</w:t>
      </w:r>
    </w:p>
    <w:p w14:paraId="4D5E7F2D"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lastRenderedPageBreak/>
        <w:t>Additionally, local retailers such as Pick 'n Pay further fragment the market, each engaged in aggressive store expansion plans, with a competitive race to secure premium site locations. The difficulty in obtaining desirable retail sites acts as an implicit barrier to entry, significantly slowing the pace at which new entrants can effectively compete (Brenton and Isik, 2012)</w:t>
      </w:r>
    </w:p>
    <w:p w14:paraId="3D41B8CA"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t>(2) Threat of substitute products or services</w:t>
      </w:r>
    </w:p>
    <w:p w14:paraId="1D5AF640"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A major competitive force has emerged in the South African retail sector. The threat of substitutes is affecting both the profitability and strategic positioning of large supermarket chains like Shoprite Holdings Ltd (Das Nair, 2019). In this context, substitute products include informal retail outlets such as spaza shops, street vendors, and small traders. These alternatives offer benefits like convenience, smaller sizes, and credit options that appeal to low-income consumers. This limits Shoprite’s ability to raise prices (Das Nair, 2019).</w:t>
      </w:r>
    </w:p>
    <w:p w14:paraId="45A5B90F"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 xml:space="preserve">E-commerce and on-demand delivery apps have also emerged as substitutes for physical shopping. Services like Checkers Sixty60, </w:t>
      </w:r>
      <w:proofErr w:type="gramStart"/>
      <w:r w:rsidRPr="00C457E4">
        <w:rPr>
          <w:rFonts w:ascii="Times New Roman" w:eastAsia="Calibri" w:hAnsi="Times New Roman" w:cs="Times New Roman"/>
          <w:kern w:val="0"/>
          <w14:ligatures w14:val="none"/>
        </w:rPr>
        <w:t>Pick</w:t>
      </w:r>
      <w:proofErr w:type="gramEnd"/>
      <w:r w:rsidRPr="00C457E4">
        <w:rPr>
          <w:rFonts w:ascii="Times New Roman" w:eastAsia="Calibri" w:hAnsi="Times New Roman" w:cs="Times New Roman"/>
          <w:kern w:val="0"/>
          <w14:ligatures w14:val="none"/>
        </w:rPr>
        <w:t xml:space="preserve"> n Pay asap, and Woolworths Dash show how these established groups have launched services based on this successful model (</w:t>
      </w:r>
      <w:proofErr w:type="spellStart"/>
      <w:r w:rsidRPr="00C457E4">
        <w:rPr>
          <w:rFonts w:ascii="Times New Roman" w:eastAsia="Calibri" w:hAnsi="Times New Roman" w:cs="Times New Roman"/>
          <w:kern w:val="0"/>
          <w14:ligatures w14:val="none"/>
        </w:rPr>
        <w:t>Shenjere</w:t>
      </w:r>
      <w:proofErr w:type="spellEnd"/>
      <w:r w:rsidRPr="00C457E4">
        <w:rPr>
          <w:rFonts w:ascii="Times New Roman" w:eastAsia="Calibri" w:hAnsi="Times New Roman" w:cs="Times New Roman"/>
          <w:kern w:val="0"/>
          <w14:ligatures w14:val="none"/>
        </w:rPr>
        <w:t xml:space="preserve"> &amp; </w:t>
      </w:r>
      <w:proofErr w:type="spellStart"/>
      <w:r w:rsidRPr="00C457E4">
        <w:rPr>
          <w:rFonts w:ascii="Times New Roman" w:eastAsia="Calibri" w:hAnsi="Times New Roman" w:cs="Times New Roman"/>
          <w:kern w:val="0"/>
          <w14:ligatures w14:val="none"/>
        </w:rPr>
        <w:t>Middelberg</w:t>
      </w:r>
      <w:proofErr w:type="spellEnd"/>
      <w:r w:rsidRPr="00C457E4">
        <w:rPr>
          <w:rFonts w:ascii="Times New Roman" w:eastAsia="Calibri" w:hAnsi="Times New Roman" w:cs="Times New Roman"/>
          <w:kern w:val="0"/>
          <w14:ligatures w14:val="none"/>
        </w:rPr>
        <w:t>, 2023). Price-sensitive customers are turning to wholesalers and bulk buyers because they offer lower costs for basic staple goods such as potatoes, eggs, rice, and wheat (Goga, Bosiu &amp; Bell, 2019).</w:t>
      </w:r>
    </w:p>
    <w:p w14:paraId="01B95D0E"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Additionally, some customers have switched to private labels or generic substitutes due to inflation and a decrease in disposable income, which affects their buying choices (Beneke &amp; Carter, 2015). According to Porter (2008), substitutes set a ceiling on industry profitability by giving customers different ways to meet the same needs. In Shoprite’s case, these dynamic forces the retailer to focus on efficiency, digital innovation, and product differentiation to remain competitive.</w:t>
      </w:r>
    </w:p>
    <w:p w14:paraId="3F338514"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t>(3) Bargaining power of buyers</w:t>
      </w:r>
    </w:p>
    <w:p w14:paraId="36852370"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 xml:space="preserve">In the South African grocery retail market, the bargaining power of buyers, particularly for a major grocery retailer like Shoprite Holdings Ltd., mainly depends on how sensitive consumers are to prices, their income levels, and the costs of switching to other brands. </w:t>
      </w:r>
      <w:proofErr w:type="spellStart"/>
      <w:r w:rsidRPr="00C457E4">
        <w:rPr>
          <w:rFonts w:ascii="Times New Roman" w:eastAsia="Calibri" w:hAnsi="Times New Roman" w:cs="Times New Roman"/>
          <w:kern w:val="0"/>
          <w14:ligatures w14:val="none"/>
        </w:rPr>
        <w:t>Inderst</w:t>
      </w:r>
      <w:proofErr w:type="spellEnd"/>
      <w:r w:rsidRPr="00C457E4">
        <w:rPr>
          <w:rFonts w:ascii="Times New Roman" w:eastAsia="Calibri" w:hAnsi="Times New Roman" w:cs="Times New Roman"/>
          <w:kern w:val="0"/>
          <w14:ligatures w14:val="none"/>
        </w:rPr>
        <w:t xml:space="preserve"> and Wey (2003) </w:t>
      </w:r>
      <w:r w:rsidRPr="00C457E4">
        <w:rPr>
          <w:rFonts w:ascii="Times New Roman" w:eastAsia="Calibri" w:hAnsi="Times New Roman" w:cs="Times New Roman"/>
          <w:kern w:val="0"/>
          <w14:ligatures w14:val="none"/>
        </w:rPr>
        <w:lastRenderedPageBreak/>
        <w:t xml:space="preserve">point out that buyer power increases when consumers can easily change suppliers and when there are big differences in prices that affect their buying </w:t>
      </w:r>
      <w:proofErr w:type="spellStart"/>
      <w:r w:rsidRPr="00C457E4">
        <w:rPr>
          <w:rFonts w:ascii="Times New Roman" w:eastAsia="Calibri" w:hAnsi="Times New Roman" w:cs="Times New Roman"/>
          <w:kern w:val="0"/>
          <w14:ligatures w14:val="none"/>
        </w:rPr>
        <w:t>behavior</w:t>
      </w:r>
      <w:proofErr w:type="spellEnd"/>
      <w:r w:rsidRPr="00C457E4">
        <w:rPr>
          <w:rFonts w:ascii="Times New Roman" w:eastAsia="Calibri" w:hAnsi="Times New Roman" w:cs="Times New Roman"/>
          <w:kern w:val="0"/>
          <w14:ligatures w14:val="none"/>
        </w:rPr>
        <w:t>.</w:t>
      </w:r>
    </w:p>
    <w:p w14:paraId="2CAD61FF"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 xml:space="preserve"> In South Africa, high unemployment and inflation have made most consumers very price-sensitive, especially in the low- to middle-income segments, which form the main customer base for Shoprite (Beneke, 2015). Price competition is quite intense among retailers such as Shoprite, </w:t>
      </w:r>
      <w:proofErr w:type="gramStart"/>
      <w:r w:rsidRPr="00C457E4">
        <w:rPr>
          <w:rFonts w:ascii="Times New Roman" w:eastAsia="Calibri" w:hAnsi="Times New Roman" w:cs="Times New Roman"/>
          <w:kern w:val="0"/>
          <w14:ligatures w14:val="none"/>
        </w:rPr>
        <w:t>Pick</w:t>
      </w:r>
      <w:proofErr w:type="gramEnd"/>
      <w:r w:rsidRPr="00C457E4">
        <w:rPr>
          <w:rFonts w:ascii="Times New Roman" w:eastAsia="Calibri" w:hAnsi="Times New Roman" w:cs="Times New Roman"/>
          <w:kern w:val="0"/>
          <w14:ligatures w14:val="none"/>
        </w:rPr>
        <w:t xml:space="preserve"> n Pay, Spar, and Boxer. They all try to draw in value-seeking shoppers with frequent promotions, loyalty programs, and discounted private label products (Das Nair, 2019).</w:t>
      </w:r>
    </w:p>
    <w:p w14:paraId="1295331B"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Besides price sensitivity, the costs for consumers to switch brands are minimal. They can conveniently shop at nearby supermarkets or find similar products at informal retailers. To reduce buyer power, Shoprite uses a cost-leadership strategy to provide value pricing while ensuring that they maintain good product availability and quality through their large store network (</w:t>
      </w:r>
      <w:proofErr w:type="spellStart"/>
      <w:r w:rsidRPr="00C457E4">
        <w:rPr>
          <w:rFonts w:ascii="Times New Roman" w:eastAsia="Calibri" w:hAnsi="Times New Roman" w:cs="Times New Roman"/>
          <w:kern w:val="0"/>
          <w14:ligatures w14:val="none"/>
        </w:rPr>
        <w:t>Shenjere</w:t>
      </w:r>
      <w:proofErr w:type="spellEnd"/>
      <w:r w:rsidRPr="00C457E4">
        <w:rPr>
          <w:rFonts w:ascii="Times New Roman" w:eastAsia="Calibri" w:hAnsi="Times New Roman" w:cs="Times New Roman"/>
          <w:kern w:val="0"/>
          <w14:ligatures w14:val="none"/>
        </w:rPr>
        <w:t xml:space="preserve"> &amp; </w:t>
      </w:r>
      <w:proofErr w:type="spellStart"/>
      <w:r w:rsidRPr="00C457E4">
        <w:rPr>
          <w:rFonts w:ascii="Times New Roman" w:eastAsia="Calibri" w:hAnsi="Times New Roman" w:cs="Times New Roman"/>
          <w:kern w:val="0"/>
          <w14:ligatures w14:val="none"/>
        </w:rPr>
        <w:t>Middelberg</w:t>
      </w:r>
      <w:proofErr w:type="spellEnd"/>
      <w:r w:rsidRPr="00C457E4">
        <w:rPr>
          <w:rFonts w:ascii="Times New Roman" w:eastAsia="Calibri" w:hAnsi="Times New Roman" w:cs="Times New Roman"/>
          <w:kern w:val="0"/>
          <w14:ligatures w14:val="none"/>
        </w:rPr>
        <w:t>, 2023). Therefore, although consumer price sensitivity gives buyers moderate bargaining power, Shoprite’s efficient pricing, cost advantages, and digital engagement strategies help lessen the effects of this competitive pressure on their profitability.</w:t>
      </w:r>
    </w:p>
    <w:p w14:paraId="00D64085"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t>(4) Bargaining power of suppliers</w:t>
      </w:r>
    </w:p>
    <w:p w14:paraId="3675DA26"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If suppliers have strong bargaining power, they can affect prices, delivery terms, and product availability. This can lower the profitability of firms in the industry (Brown, Fee, &amp; Thomas, 2009). In the South African retail and grocery sector, suppliers' power mainly comes from a few large fast-moving consumer goods (FMCG) manufacturers, the availability of alternative suppliers, and how much private-label products are sold by leading retailers like Shoprite Holdings Ltd. Das Nair (2019) states that South Africa’s grocery supply chain features a few dominant manufacturers, such as Tiger Brands, Clover, Unilever, and PepsiCo. These companies can push prices higher on key categories like packaged food, beverages, and household essentials. They often gain from strong brand loyalty and product differentiation, which boosts their influence over retailers.</w:t>
      </w:r>
    </w:p>
    <w:p w14:paraId="623EC79C"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t>(5) Rivalry among existing competitors</w:t>
      </w:r>
    </w:p>
    <w:p w14:paraId="1D7C8EE1"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lastRenderedPageBreak/>
        <w:t>Competitive rivalry among existing firms in an industry is a fundamental force influencing market dynamics and firm profitability, as conceptualized in Michael Porter’s Five Forces framework (Porter, 2008). The rivalry encompasses efforts undertaken by businesses to increase or defend their market share, revenues, and brand image against competitors. This rivalry manifests through strategies such as pricing competition, advertising, product innovation, and service differentiation (International Journal of Research in Finance and Marketing, 2018).</w:t>
      </w:r>
    </w:p>
    <w:p w14:paraId="4E821418"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Shoprite is the largest retailer in South Africa and one of the largest on the African continent, operating more than 2,800 outlets across 15 countries. The company operates in a market characterized by intense competition, with major competitors including Pick n Pay, Spar, Woolworths, and various informal and smaller retailers (Badal, 2021). The nature of competitive rivalry in the retail space includes price wars, product and service differentiation, marketing strategies, and geographic expansion. However, retail rivalry is further complicated by consumer preference shifts, supply chain complexities, and economic factors influencing purchasing power.</w:t>
      </w:r>
    </w:p>
    <w:p w14:paraId="6F49CC0F"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A key dimension of Shoprite’s competitive rivalry is price competition, driven by the high price sensitivity of South African consumers amid economic challenges. Shoprite is well known for its aggressive discounting and promotional tactics to maintain market share among cost-conscious customers (Shoprite holdings, 2025). This approach mirrors the price discounting strategies where consumers opt based on value-for-money. The proliferation of private label products and bulk buying options at Shoprite further fuel competition by offering alternatives to branded goods, enhancing consumer loyalty while tightening margin pressures.</w:t>
      </w:r>
    </w:p>
    <w:p w14:paraId="7D265880" w14:textId="77777777" w:rsidR="004935F3" w:rsidRPr="003B6AD3" w:rsidRDefault="004935F3" w:rsidP="003B6AD3">
      <w:pPr>
        <w:pStyle w:val="Heading5"/>
        <w:rPr>
          <w:rFonts w:asciiTheme="majorBidi" w:eastAsia="Calibri" w:hAnsiTheme="majorBidi"/>
          <w:b/>
          <w:bCs/>
          <w:color w:val="auto"/>
        </w:rPr>
      </w:pPr>
      <w:r w:rsidRPr="003B6AD3">
        <w:rPr>
          <w:rFonts w:asciiTheme="majorBidi" w:eastAsia="Calibri" w:hAnsiTheme="majorBidi"/>
          <w:b/>
          <w:bCs/>
          <w:color w:val="auto"/>
        </w:rPr>
        <w:t>2.3 Structural Challenges</w:t>
      </w:r>
    </w:p>
    <w:p w14:paraId="431E2CD9"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t>1. Load-shedding and Electricity Instability</w:t>
      </w:r>
    </w:p>
    <w:p w14:paraId="77AB4E88"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 xml:space="preserve">One of the biggest challenges facing Shoprite and the wider South African retail industry is load-shedding (Mabunda, </w:t>
      </w:r>
      <w:proofErr w:type="spellStart"/>
      <w:r w:rsidRPr="00C457E4">
        <w:rPr>
          <w:rFonts w:ascii="Times New Roman" w:eastAsia="Calibri" w:hAnsi="Times New Roman" w:cs="Times New Roman"/>
          <w:kern w:val="0"/>
          <w14:ligatures w14:val="none"/>
        </w:rPr>
        <w:t>Mukonza</w:t>
      </w:r>
      <w:proofErr w:type="spellEnd"/>
      <w:r w:rsidRPr="00C457E4">
        <w:rPr>
          <w:rFonts w:ascii="Times New Roman" w:eastAsia="Calibri" w:hAnsi="Times New Roman" w:cs="Times New Roman"/>
          <w:kern w:val="0"/>
          <w14:ligatures w14:val="none"/>
        </w:rPr>
        <w:t xml:space="preserve"> &amp; </w:t>
      </w:r>
      <w:proofErr w:type="spellStart"/>
      <w:r w:rsidRPr="00C457E4">
        <w:rPr>
          <w:rFonts w:ascii="Times New Roman" w:eastAsia="Calibri" w:hAnsi="Times New Roman" w:cs="Times New Roman"/>
          <w:kern w:val="0"/>
          <w14:ligatures w14:val="none"/>
        </w:rPr>
        <w:t>Mudzanani</w:t>
      </w:r>
      <w:proofErr w:type="spellEnd"/>
      <w:r w:rsidRPr="00C457E4">
        <w:rPr>
          <w:rFonts w:ascii="Times New Roman" w:eastAsia="Calibri" w:hAnsi="Times New Roman" w:cs="Times New Roman"/>
          <w:kern w:val="0"/>
          <w14:ligatures w14:val="none"/>
        </w:rPr>
        <w:t xml:space="preserve">, 2023). This term refers to repeated electricity cuts caused by limited generation capacity from Eskom. Power outages increase operational costs significantly because retailers </w:t>
      </w:r>
      <w:proofErr w:type="gramStart"/>
      <w:r w:rsidRPr="00C457E4">
        <w:rPr>
          <w:rFonts w:ascii="Times New Roman" w:eastAsia="Calibri" w:hAnsi="Times New Roman" w:cs="Times New Roman"/>
          <w:kern w:val="0"/>
          <w14:ligatures w14:val="none"/>
        </w:rPr>
        <w:t>have to</w:t>
      </w:r>
      <w:proofErr w:type="gramEnd"/>
      <w:r w:rsidRPr="00C457E4">
        <w:rPr>
          <w:rFonts w:ascii="Times New Roman" w:eastAsia="Calibri" w:hAnsi="Times New Roman" w:cs="Times New Roman"/>
          <w:kern w:val="0"/>
          <w14:ligatures w14:val="none"/>
        </w:rPr>
        <w:t xml:space="preserve"> use diesel generators and other energy sources to keep refrigeration, lighting, and point-of-sale systems running. According to Mabunda (2023), load-shedding negatively affects business performance, especially for retailers and small businesses. It </w:t>
      </w:r>
      <w:r w:rsidRPr="00C457E4">
        <w:rPr>
          <w:rFonts w:ascii="Times New Roman" w:eastAsia="Calibri" w:hAnsi="Times New Roman" w:cs="Times New Roman"/>
          <w:kern w:val="0"/>
          <w14:ligatures w14:val="none"/>
        </w:rPr>
        <w:lastRenderedPageBreak/>
        <w:t>disrupts trading hours, raises fuel costs, and leads to spoilage of inventory, particularly for perishable goods. For a retailer like Shoprite, which has large cold-chain logistics and in-store refrigeration, these interruptions threaten profitability and the customer experience. Ongoing energy instability forces retailers to invest heavily in energy efficiency and renewable power sources to reduce these disruptions and protect perishable inventory.</w:t>
      </w:r>
    </w:p>
    <w:p w14:paraId="01F09F1C"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t>2. Intense Domestic Competition and Margin Pressure</w:t>
      </w:r>
    </w:p>
    <w:p w14:paraId="0714B7A3"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 xml:space="preserve">The South African retail industry is very concentrated, with a few major supermarket groups competing fiercely for market share. These groups include Shoprite, </w:t>
      </w:r>
      <w:proofErr w:type="gramStart"/>
      <w:r w:rsidRPr="00C457E4">
        <w:rPr>
          <w:rFonts w:ascii="Times New Roman" w:eastAsia="Calibri" w:hAnsi="Times New Roman" w:cs="Times New Roman"/>
          <w:kern w:val="0"/>
          <w14:ligatures w14:val="none"/>
        </w:rPr>
        <w:t>Pick</w:t>
      </w:r>
      <w:proofErr w:type="gramEnd"/>
      <w:r w:rsidRPr="00C457E4">
        <w:rPr>
          <w:rFonts w:ascii="Times New Roman" w:eastAsia="Calibri" w:hAnsi="Times New Roman" w:cs="Times New Roman"/>
          <w:kern w:val="0"/>
          <w14:ligatures w14:val="none"/>
        </w:rPr>
        <w:t xml:space="preserve"> n Pay, Spar, and Woolworths (Das Nair, 2018). This competition has led to intense price wars, frequent promotions, and significant investment in loyalty programs. These factors contribute to shrinking profit margins. Goga and Bosiu (2019) note that the competition among top grocery retailers limits their ability to raise prices, even when they face rising operating costs. This creates ongoing pressure on profit margins. Retail consolidation and economies of scale have become crucial for survival as smaller companies find it hard to compete on price and distribution efficiency. For Shoprite, its focus on cost leadership and supply chain integration helps it stay competitive. However, constant promotions and discounts hinder overall profitability in an already crowded market.</w:t>
      </w:r>
    </w:p>
    <w:p w14:paraId="40D5A01D"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t>3. Consumer Income Pressure and Inflation</w:t>
      </w:r>
    </w:p>
    <w:p w14:paraId="5E6C5656" w14:textId="77777777" w:rsidR="004935F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 xml:space="preserve">South Africa’s high unemployment rate and increasing food inflation have significantly reduced household purchasing power. This situation is causing consumers to </w:t>
      </w:r>
      <w:proofErr w:type="spellStart"/>
      <w:r w:rsidRPr="00C457E4">
        <w:rPr>
          <w:rFonts w:ascii="Times New Roman" w:eastAsia="Calibri" w:hAnsi="Times New Roman" w:cs="Times New Roman"/>
          <w:kern w:val="0"/>
          <w14:ligatures w14:val="none"/>
        </w:rPr>
        <w:t>favor</w:t>
      </w:r>
      <w:proofErr w:type="spellEnd"/>
      <w:r w:rsidRPr="00C457E4">
        <w:rPr>
          <w:rFonts w:ascii="Times New Roman" w:eastAsia="Calibri" w:hAnsi="Times New Roman" w:cs="Times New Roman"/>
          <w:kern w:val="0"/>
          <w14:ligatures w14:val="none"/>
        </w:rPr>
        <w:t xml:space="preserve"> low-cost retailers and smaller pack sizes. Research by </w:t>
      </w:r>
      <w:proofErr w:type="spellStart"/>
      <w:r w:rsidRPr="00C457E4">
        <w:rPr>
          <w:rFonts w:ascii="Times New Roman" w:eastAsia="Calibri" w:hAnsi="Times New Roman" w:cs="Times New Roman"/>
          <w:kern w:val="0"/>
          <w14:ligatures w14:val="none"/>
        </w:rPr>
        <w:t>Odunitan</w:t>
      </w:r>
      <w:proofErr w:type="spellEnd"/>
      <w:r w:rsidRPr="00C457E4">
        <w:rPr>
          <w:rFonts w:ascii="Times New Roman" w:eastAsia="Calibri" w:hAnsi="Times New Roman" w:cs="Times New Roman"/>
          <w:kern w:val="0"/>
          <w14:ligatures w14:val="none"/>
        </w:rPr>
        <w:t xml:space="preserve">-Wayas, Hamann, </w:t>
      </w:r>
      <w:proofErr w:type="spellStart"/>
      <w:r w:rsidRPr="00C457E4">
        <w:rPr>
          <w:rFonts w:ascii="Times New Roman" w:eastAsia="Calibri" w:hAnsi="Times New Roman" w:cs="Times New Roman"/>
          <w:kern w:val="0"/>
          <w14:ligatures w14:val="none"/>
        </w:rPr>
        <w:t>Sinyanya</w:t>
      </w:r>
      <w:proofErr w:type="spellEnd"/>
      <w:r w:rsidRPr="00C457E4">
        <w:rPr>
          <w:rFonts w:ascii="Times New Roman" w:eastAsia="Calibri" w:hAnsi="Times New Roman" w:cs="Times New Roman"/>
          <w:kern w:val="0"/>
          <w14:ligatures w14:val="none"/>
        </w:rPr>
        <w:t xml:space="preserve">, King, </w:t>
      </w:r>
      <w:proofErr w:type="spellStart"/>
      <w:r w:rsidRPr="00C457E4">
        <w:rPr>
          <w:rFonts w:ascii="Times New Roman" w:eastAsia="Calibri" w:hAnsi="Times New Roman" w:cs="Times New Roman"/>
          <w:kern w:val="0"/>
          <w14:ligatures w14:val="none"/>
        </w:rPr>
        <w:t>Banchoff</w:t>
      </w:r>
      <w:proofErr w:type="spellEnd"/>
      <w:r w:rsidRPr="00C457E4">
        <w:rPr>
          <w:rFonts w:ascii="Times New Roman" w:eastAsia="Calibri" w:hAnsi="Times New Roman" w:cs="Times New Roman"/>
          <w:kern w:val="0"/>
          <w14:ligatures w14:val="none"/>
        </w:rPr>
        <w:t xml:space="preserve">, </w:t>
      </w:r>
      <w:proofErr w:type="spellStart"/>
      <w:proofErr w:type="gramStart"/>
      <w:r w:rsidRPr="00C457E4">
        <w:rPr>
          <w:rFonts w:ascii="Times New Roman" w:eastAsia="Calibri" w:hAnsi="Times New Roman" w:cs="Times New Roman"/>
          <w:kern w:val="0"/>
          <w14:ligatures w14:val="none"/>
        </w:rPr>
        <w:t>Winter,Hendricks</w:t>
      </w:r>
      <w:proofErr w:type="spellEnd"/>
      <w:proofErr w:type="gramEnd"/>
      <w:r w:rsidRPr="00C457E4">
        <w:rPr>
          <w:rFonts w:ascii="Times New Roman" w:eastAsia="Calibri" w:hAnsi="Times New Roman" w:cs="Times New Roman"/>
          <w:kern w:val="0"/>
          <w14:ligatures w14:val="none"/>
        </w:rPr>
        <w:t xml:space="preserve">, </w:t>
      </w:r>
      <w:proofErr w:type="spellStart"/>
      <w:r w:rsidRPr="00C457E4">
        <w:rPr>
          <w:rFonts w:ascii="Times New Roman" w:eastAsia="Calibri" w:hAnsi="Times New Roman" w:cs="Times New Roman"/>
          <w:kern w:val="0"/>
          <w14:ligatures w14:val="none"/>
        </w:rPr>
        <w:t>Okop</w:t>
      </w:r>
      <w:proofErr w:type="spellEnd"/>
      <w:r w:rsidRPr="00C457E4">
        <w:rPr>
          <w:rFonts w:ascii="Times New Roman" w:eastAsia="Calibri" w:hAnsi="Times New Roman" w:cs="Times New Roman"/>
          <w:kern w:val="0"/>
          <w14:ligatures w14:val="none"/>
        </w:rPr>
        <w:t xml:space="preserve"> &amp; Lambert (2020) shows that consumers from various income groups are becoming more price-sensitive, focusing on affordability and value for money when shopping for groceries. This change has increased the demand for private-label products, which usually cost less than branded items. While this trend helps Shoprite’s budget-focused divisions like </w:t>
      </w:r>
      <w:proofErr w:type="spellStart"/>
      <w:r w:rsidRPr="00C457E4">
        <w:rPr>
          <w:rFonts w:ascii="Times New Roman" w:eastAsia="Calibri" w:hAnsi="Times New Roman" w:cs="Times New Roman"/>
          <w:kern w:val="0"/>
          <w14:ligatures w14:val="none"/>
        </w:rPr>
        <w:t>Usave</w:t>
      </w:r>
      <w:proofErr w:type="spellEnd"/>
      <w:r w:rsidRPr="00C457E4">
        <w:rPr>
          <w:rFonts w:ascii="Times New Roman" w:eastAsia="Calibri" w:hAnsi="Times New Roman" w:cs="Times New Roman"/>
          <w:kern w:val="0"/>
          <w14:ligatures w14:val="none"/>
        </w:rPr>
        <w:t xml:space="preserve"> and its in-house brands such as </w:t>
      </w:r>
      <w:proofErr w:type="spellStart"/>
      <w:r w:rsidRPr="00C457E4">
        <w:rPr>
          <w:rFonts w:ascii="Times New Roman" w:eastAsia="Calibri" w:hAnsi="Times New Roman" w:cs="Times New Roman"/>
          <w:kern w:val="0"/>
          <w14:ligatures w14:val="none"/>
        </w:rPr>
        <w:t>Ritebrand</w:t>
      </w:r>
      <w:proofErr w:type="spellEnd"/>
      <w:r w:rsidRPr="00C457E4">
        <w:rPr>
          <w:rFonts w:ascii="Times New Roman" w:eastAsia="Calibri" w:hAnsi="Times New Roman" w:cs="Times New Roman"/>
          <w:kern w:val="0"/>
          <w14:ligatures w14:val="none"/>
        </w:rPr>
        <w:t>, it also lowers profit margins on each unit sold and raises competition in the lowest-price segment. As a result, economic inequality and inflationary pressures continue to limit real growth in retail sales volumes, even as nominal revenues rise (</w:t>
      </w:r>
      <w:proofErr w:type="spellStart"/>
      <w:r w:rsidRPr="00C457E4">
        <w:rPr>
          <w:rFonts w:ascii="Times New Roman" w:eastAsia="Calibri" w:hAnsi="Times New Roman" w:cs="Times New Roman"/>
          <w:kern w:val="0"/>
          <w14:ligatures w14:val="none"/>
        </w:rPr>
        <w:t>Odunitan</w:t>
      </w:r>
      <w:proofErr w:type="spellEnd"/>
      <w:r w:rsidRPr="00C457E4">
        <w:rPr>
          <w:rFonts w:ascii="Times New Roman" w:eastAsia="Calibri" w:hAnsi="Times New Roman" w:cs="Times New Roman"/>
          <w:kern w:val="0"/>
          <w14:ligatures w14:val="none"/>
        </w:rPr>
        <w:t>-Wayas et al. 2020).</w:t>
      </w:r>
    </w:p>
    <w:p w14:paraId="7D38FBAD" w14:textId="77777777" w:rsidR="004935F3" w:rsidRPr="00C457E4" w:rsidRDefault="004935F3" w:rsidP="00C457E4">
      <w:pPr>
        <w:spacing w:line="360" w:lineRule="auto"/>
        <w:jc w:val="both"/>
        <w:rPr>
          <w:rFonts w:ascii="Times New Roman" w:eastAsia="Calibri" w:hAnsi="Times New Roman" w:cs="Times New Roman"/>
          <w:b/>
          <w:bCs/>
          <w:kern w:val="0"/>
          <w14:ligatures w14:val="none"/>
        </w:rPr>
      </w:pPr>
      <w:r w:rsidRPr="00C457E4">
        <w:rPr>
          <w:rFonts w:ascii="Times New Roman" w:eastAsia="Calibri" w:hAnsi="Times New Roman" w:cs="Times New Roman"/>
          <w:b/>
          <w:bCs/>
          <w:kern w:val="0"/>
          <w14:ligatures w14:val="none"/>
        </w:rPr>
        <w:lastRenderedPageBreak/>
        <w:t>4. Operational Risks in African Expansion</w:t>
      </w:r>
    </w:p>
    <w:p w14:paraId="4E445AE8" w14:textId="5C539B2B" w:rsidR="00C51383" w:rsidRPr="00C457E4" w:rsidRDefault="004935F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kern w:val="0"/>
          <w14:ligatures w14:val="none"/>
        </w:rPr>
        <w:t>Beyond its South African operations, Shoprite faces operational and financial risks as it expands into other African countries. These challenges include currency fluctuations, uncertain regulations, and political instability (</w:t>
      </w:r>
      <w:proofErr w:type="spellStart"/>
      <w:r w:rsidRPr="00C457E4">
        <w:rPr>
          <w:rFonts w:ascii="Times New Roman" w:eastAsia="Calibri" w:hAnsi="Times New Roman" w:cs="Times New Roman"/>
          <w:kern w:val="0"/>
          <w14:ligatures w14:val="none"/>
        </w:rPr>
        <w:t>Cambaza</w:t>
      </w:r>
      <w:proofErr w:type="spellEnd"/>
      <w:r w:rsidRPr="00C457E4">
        <w:rPr>
          <w:rFonts w:ascii="Times New Roman" w:eastAsia="Calibri" w:hAnsi="Times New Roman" w:cs="Times New Roman"/>
          <w:kern w:val="0"/>
          <w14:ligatures w14:val="none"/>
        </w:rPr>
        <w:t xml:space="preserve">, 2024). They impact profitability and make long-term investment planning difficult. For example, currency depreciation in markets like Nigeria and Angola has previously cut down repatriated earnings. Additionally, varying regulatory frameworks and import restrictions have raised compliance costs. According to Reuters (2024), these conditions have led Shoprite to restructure and, in some cases, </w:t>
      </w:r>
      <w:r w:rsidR="00C51383" w:rsidRPr="00C457E4">
        <w:rPr>
          <w:rFonts w:ascii="Times New Roman" w:eastAsia="Calibri" w:hAnsi="Times New Roman" w:cs="Times New Roman"/>
          <w:kern w:val="0"/>
          <w14:ligatures w14:val="none"/>
        </w:rPr>
        <w:t>withdraw from</w:t>
      </w:r>
      <w:r w:rsidRPr="00C457E4">
        <w:rPr>
          <w:rFonts w:ascii="Times New Roman" w:eastAsia="Calibri" w:hAnsi="Times New Roman" w:cs="Times New Roman"/>
          <w:kern w:val="0"/>
          <w14:ligatures w14:val="none"/>
        </w:rPr>
        <w:t xml:space="preserve"> less stable markets. The company now aims to strengthen its </w:t>
      </w:r>
      <w:r w:rsidR="00C51383" w:rsidRPr="00C457E4">
        <w:rPr>
          <w:rFonts w:ascii="Times New Roman" w:eastAsia="Calibri" w:hAnsi="Times New Roman" w:cs="Times New Roman"/>
          <w:kern w:val="0"/>
          <w14:ligatures w14:val="none"/>
        </w:rPr>
        <w:t>operations in South Africa and the Southern African region</w:t>
      </w:r>
      <w:r w:rsidRPr="00C457E4">
        <w:rPr>
          <w:rFonts w:ascii="Times New Roman" w:eastAsia="Calibri" w:hAnsi="Times New Roman" w:cs="Times New Roman"/>
          <w:kern w:val="0"/>
          <w14:ligatures w14:val="none"/>
        </w:rPr>
        <w:t>. While expansion in the region offers long-term growth potential, it also exposes Shoprite to economic and policy risks that are often beyond its control.</w:t>
      </w:r>
    </w:p>
    <w:p w14:paraId="4B4AB1E8" w14:textId="4E5B8912" w:rsidR="00DE6C88" w:rsidRPr="00C457E4" w:rsidRDefault="00C51383" w:rsidP="00C457E4">
      <w:pPr>
        <w:spacing w:line="360" w:lineRule="auto"/>
        <w:jc w:val="both"/>
        <w:rPr>
          <w:rFonts w:ascii="Times New Roman" w:eastAsia="Calibri" w:hAnsi="Times New Roman" w:cs="Times New Roman"/>
          <w:kern w:val="0"/>
          <w14:ligatures w14:val="none"/>
        </w:rPr>
      </w:pPr>
      <w:r w:rsidRPr="00C457E4">
        <w:rPr>
          <w:rFonts w:ascii="Times New Roman" w:eastAsia="Calibri" w:hAnsi="Times New Roman" w:cs="Times New Roman"/>
          <w:b/>
          <w:bCs/>
          <w:kern w:val="0"/>
          <w14:ligatures w14:val="none"/>
        </w:rPr>
        <w:t xml:space="preserve">2.4 </w:t>
      </w:r>
      <w:r w:rsidR="00DE6C88" w:rsidRPr="00C457E4">
        <w:rPr>
          <w:rFonts w:ascii="Times New Roman" w:hAnsi="Times New Roman" w:cs="Times New Roman"/>
          <w:b/>
          <w:bCs/>
          <w:lang w:val="en-US"/>
        </w:rPr>
        <w:t>Major opportunities and threats for Shoprite within South Africa</w:t>
      </w:r>
    </w:p>
    <w:p w14:paraId="0B97F158" w14:textId="1DD026D6" w:rsidR="00DE6C88" w:rsidRPr="00C457E4" w:rsidRDefault="00DE6C88" w:rsidP="00C457E4">
      <w:pPr>
        <w:spacing w:line="360" w:lineRule="auto"/>
        <w:jc w:val="both"/>
        <w:rPr>
          <w:rFonts w:ascii="Times New Roman" w:hAnsi="Times New Roman" w:cs="Times New Roman"/>
          <w:lang w:val="en-US"/>
        </w:rPr>
      </w:pPr>
      <w:r w:rsidRPr="00C457E4">
        <w:rPr>
          <w:rFonts w:ascii="Times New Roman" w:hAnsi="Times New Roman" w:cs="Times New Roman"/>
          <w:lang w:val="en-US"/>
        </w:rPr>
        <w:t xml:space="preserve">Shoprite has a dominant position in South Africa’s retail market, which creates significant growth opportunities. The company has expanded its market share consistently over the past five years, driven by strong performance in its core supermarket brands such as Shoprite, Checkers, and </w:t>
      </w:r>
      <w:proofErr w:type="spellStart"/>
      <w:r w:rsidRPr="00C457E4">
        <w:rPr>
          <w:rFonts w:ascii="Times New Roman" w:hAnsi="Times New Roman" w:cs="Times New Roman"/>
          <w:lang w:val="en-US"/>
        </w:rPr>
        <w:t>Usave</w:t>
      </w:r>
      <w:proofErr w:type="spellEnd"/>
      <w:r w:rsidRPr="00C457E4">
        <w:rPr>
          <w:rFonts w:ascii="Times New Roman" w:hAnsi="Times New Roman" w:cs="Times New Roman"/>
          <w:lang w:val="en-US"/>
        </w:rPr>
        <w:t xml:space="preserve">. Furthermore, Shoprite’s rapid delivery platform, Sixty60, represents a rising trend towards e-commerce with reported online sales growth exceeding 47%. The company continues to open new stores aggressively, with 194 new supermarkets launched in 2025, highlighting its capacity to </w:t>
      </w:r>
      <w:proofErr w:type="spellStart"/>
      <w:r w:rsidR="00186401">
        <w:rPr>
          <w:rFonts w:ascii="Times New Roman" w:hAnsi="Times New Roman" w:cs="Times New Roman"/>
          <w:lang w:val="en-US"/>
        </w:rPr>
        <w:t>capitalise</w:t>
      </w:r>
      <w:proofErr w:type="spellEnd"/>
      <w:r w:rsidRPr="00C457E4">
        <w:rPr>
          <w:rFonts w:ascii="Times New Roman" w:hAnsi="Times New Roman" w:cs="Times New Roman"/>
          <w:lang w:val="en-US"/>
        </w:rPr>
        <w:t xml:space="preserve"> on </w:t>
      </w:r>
      <w:proofErr w:type="spellStart"/>
      <w:r w:rsidR="00186401">
        <w:rPr>
          <w:rFonts w:ascii="Times New Roman" w:hAnsi="Times New Roman" w:cs="Times New Roman"/>
          <w:lang w:val="en-US"/>
        </w:rPr>
        <w:t>urbanisation</w:t>
      </w:r>
      <w:proofErr w:type="spellEnd"/>
      <w:r w:rsidRPr="00C457E4">
        <w:rPr>
          <w:rFonts w:ascii="Times New Roman" w:hAnsi="Times New Roman" w:cs="Times New Roman"/>
          <w:lang w:val="en-US"/>
        </w:rPr>
        <w:t xml:space="preserve"> and consumer preferences for convenience (Shoprite, 2024; Badal. 2021).</w:t>
      </w:r>
    </w:p>
    <w:p w14:paraId="5F126B33" w14:textId="115E94DE" w:rsidR="00DE6C88" w:rsidRPr="00C457E4" w:rsidRDefault="00DE6C88" w:rsidP="00C457E4">
      <w:pPr>
        <w:spacing w:line="360" w:lineRule="auto"/>
        <w:jc w:val="both"/>
        <w:rPr>
          <w:rFonts w:ascii="Times New Roman" w:hAnsi="Times New Roman" w:cs="Times New Roman"/>
          <w:lang w:val="en-US"/>
        </w:rPr>
      </w:pPr>
      <w:r w:rsidRPr="00C457E4">
        <w:rPr>
          <w:rFonts w:ascii="Times New Roman" w:hAnsi="Times New Roman" w:cs="Times New Roman"/>
          <w:lang w:val="en-US"/>
        </w:rPr>
        <w:t xml:space="preserve">Despite economic challenges in South Africa, Shoprite’s operational resilience and range breadth allow it to maintain profitability. The company benefits from diversified retail brands that help cushion economic </w:t>
      </w:r>
      <w:r w:rsidR="00186401">
        <w:rPr>
          <w:rFonts w:ascii="Times New Roman" w:hAnsi="Times New Roman" w:cs="Times New Roman"/>
          <w:lang w:val="en-US"/>
        </w:rPr>
        <w:t>downturns</w:t>
      </w:r>
      <w:r w:rsidRPr="00C457E4">
        <w:rPr>
          <w:rFonts w:ascii="Times New Roman" w:hAnsi="Times New Roman" w:cs="Times New Roman"/>
          <w:lang w:val="en-US"/>
        </w:rPr>
        <w:t>. Additionally, expected government reforms promoting economic growth and lower interest rates could enhance consumer spending power, benefiting Shoprite’s financial performance (Shoprite Holdings, 2024). Shoprite also enjoys opportunities through its international expansion in Africa, with its non-South African segment contributing over 8% of total sales in 2025 and achieving double-digit growth in markets such as Malawi and Ghana. This diversification into faster-growing African economies reduces reliance on the domestic market and provides avenues for sustained revenue growth (Campbell, 2018).</w:t>
      </w:r>
    </w:p>
    <w:p w14:paraId="60A76023" w14:textId="77777777" w:rsidR="00DE6C88" w:rsidRPr="00C457E4" w:rsidRDefault="00DE6C88" w:rsidP="00C457E4">
      <w:pPr>
        <w:spacing w:line="360" w:lineRule="auto"/>
        <w:jc w:val="both"/>
        <w:rPr>
          <w:rFonts w:ascii="Times New Roman" w:hAnsi="Times New Roman" w:cs="Times New Roman"/>
          <w:lang w:val="en-US"/>
        </w:rPr>
      </w:pPr>
      <w:r w:rsidRPr="00C457E4">
        <w:rPr>
          <w:rFonts w:ascii="Times New Roman" w:hAnsi="Times New Roman" w:cs="Times New Roman"/>
          <w:lang w:val="en-US"/>
        </w:rPr>
        <w:lastRenderedPageBreak/>
        <w:t>However, the South African macroeconomic environment creates notable threats to Shoprite’s business. Issues such as electricity load shedding increase operational costs and disrupt store functionality, forcing Shoprite to invest heavily in backup power systems. This challenge, combined with slow economic growth and high inflation, reduces consumer purchasing power and strains profitability (</w:t>
      </w:r>
      <w:proofErr w:type="spellStart"/>
      <w:r w:rsidRPr="00C457E4">
        <w:rPr>
          <w:rFonts w:ascii="Times New Roman" w:hAnsi="Times New Roman" w:cs="Times New Roman"/>
          <w:lang w:val="en-US"/>
        </w:rPr>
        <w:t>Cambaza</w:t>
      </w:r>
      <w:proofErr w:type="spellEnd"/>
      <w:r w:rsidRPr="00C457E4">
        <w:rPr>
          <w:rFonts w:ascii="Times New Roman" w:hAnsi="Times New Roman" w:cs="Times New Roman"/>
          <w:lang w:val="en-US"/>
        </w:rPr>
        <w:t>, 2024; Shoprite, 2024).</w:t>
      </w:r>
    </w:p>
    <w:p w14:paraId="10200C0A" w14:textId="6B0C4FAB" w:rsidR="00DE6C88" w:rsidRPr="00C457E4" w:rsidRDefault="00DE6C88" w:rsidP="00C457E4">
      <w:pPr>
        <w:spacing w:line="360" w:lineRule="auto"/>
        <w:jc w:val="both"/>
        <w:rPr>
          <w:rFonts w:ascii="Times New Roman" w:hAnsi="Times New Roman" w:cs="Times New Roman"/>
          <w:lang w:val="en-US"/>
        </w:rPr>
      </w:pPr>
      <w:r w:rsidRPr="00C457E4">
        <w:rPr>
          <w:rFonts w:ascii="Times New Roman" w:hAnsi="Times New Roman" w:cs="Times New Roman"/>
          <w:lang w:val="en-US"/>
        </w:rPr>
        <w:t xml:space="preserve">The COVID-19 pandemic disrupted food production and supply worldwide. In South Africa, supermarkets dominate food distribution, relying heavily on global suppliers. This dependence caused significant challenges and financial losses as supply chains were interrupted. Shoprite, Africa’s largest food retailer, sources products from 41 countries and operates 28 distribution </w:t>
      </w:r>
      <w:proofErr w:type="spellStart"/>
      <w:r w:rsidR="00186401">
        <w:rPr>
          <w:rFonts w:ascii="Times New Roman" w:hAnsi="Times New Roman" w:cs="Times New Roman"/>
          <w:lang w:val="en-US"/>
        </w:rPr>
        <w:t>centres</w:t>
      </w:r>
      <w:proofErr w:type="spellEnd"/>
      <w:r w:rsidRPr="00C457E4">
        <w:rPr>
          <w:rFonts w:ascii="Times New Roman" w:hAnsi="Times New Roman" w:cs="Times New Roman"/>
          <w:lang w:val="en-US"/>
        </w:rPr>
        <w:t>. It supplies more than 2,000 stores across 16 countries, reflecting a large and complex network (Shoprite holding limited, 2020). The pandemic revealed vulnerabilities in these extensive sourcing and distribution systems, forcing rapid adaptation. This highlights the risks faced by supermarket-led food supply chains during crises (Deconinck, Avery and Jackson, 2020)</w:t>
      </w:r>
      <w:r w:rsidR="00A675A0">
        <w:rPr>
          <w:rFonts w:ascii="Times New Roman" w:hAnsi="Times New Roman" w:cs="Times New Roman"/>
          <w:lang w:val="en-US"/>
        </w:rPr>
        <w:t xml:space="preserve">. </w:t>
      </w:r>
    </w:p>
    <w:p w14:paraId="2214788F" w14:textId="39AB23FB" w:rsidR="00DE6C88" w:rsidRPr="00C457E4" w:rsidRDefault="00DE6C88" w:rsidP="00C457E4">
      <w:pPr>
        <w:spacing w:line="360" w:lineRule="auto"/>
        <w:jc w:val="both"/>
        <w:rPr>
          <w:rFonts w:ascii="Times New Roman" w:hAnsi="Times New Roman" w:cs="Times New Roman"/>
          <w:lang w:val="en-US"/>
        </w:rPr>
      </w:pPr>
      <w:r w:rsidRPr="00C457E4">
        <w:rPr>
          <w:rFonts w:ascii="Times New Roman" w:hAnsi="Times New Roman" w:cs="Times New Roman"/>
          <w:lang w:val="en-US"/>
        </w:rPr>
        <w:t xml:space="preserve">Competitive pressure from informal retailers and discount chains further threatens Shoprite’s market share, especially in lower-income and peri-urban areas. Intense price competition forces margins down, requiring Shoprite to innovate continually and manage costs effectively to remain competitive (Badal, 2021). Political and economic instability in South Africa </w:t>
      </w:r>
      <w:r w:rsidR="00186401">
        <w:rPr>
          <w:rFonts w:ascii="Times New Roman" w:hAnsi="Times New Roman" w:cs="Times New Roman"/>
          <w:lang w:val="en-US"/>
        </w:rPr>
        <w:t>adds</w:t>
      </w:r>
      <w:r w:rsidRPr="00C457E4">
        <w:rPr>
          <w:rFonts w:ascii="Times New Roman" w:hAnsi="Times New Roman" w:cs="Times New Roman"/>
          <w:lang w:val="en-US"/>
        </w:rPr>
        <w:t xml:space="preserve"> to uncertainty regarding business operations and investments. Policy uncertainty, fiscal constraints, and high interest rates suppress consumer demand and confidence. Shoprite’s significant reliance on the South African economy means these systemic threats could weaken its financial performance (</w:t>
      </w:r>
      <w:proofErr w:type="spellStart"/>
      <w:r w:rsidRPr="00C457E4">
        <w:rPr>
          <w:rFonts w:ascii="Times New Roman" w:hAnsi="Times New Roman" w:cs="Times New Roman"/>
          <w:lang w:val="en-US"/>
        </w:rPr>
        <w:t>Struwig</w:t>
      </w:r>
      <w:proofErr w:type="spellEnd"/>
      <w:r w:rsidRPr="00C457E4">
        <w:rPr>
          <w:rFonts w:ascii="Times New Roman" w:hAnsi="Times New Roman" w:cs="Times New Roman"/>
          <w:lang w:val="en-US"/>
        </w:rPr>
        <w:t xml:space="preserve"> and Best, 2023)</w:t>
      </w:r>
      <w:r w:rsidR="00A675A0">
        <w:rPr>
          <w:rFonts w:ascii="Times New Roman" w:hAnsi="Times New Roman" w:cs="Times New Roman"/>
          <w:lang w:val="en-US"/>
        </w:rPr>
        <w:t xml:space="preserve">. </w:t>
      </w:r>
    </w:p>
    <w:p w14:paraId="158BE8D9" w14:textId="77777777" w:rsidR="004935F3" w:rsidRPr="00C457E4" w:rsidRDefault="004935F3" w:rsidP="00C457E4">
      <w:pPr>
        <w:spacing w:line="360" w:lineRule="auto"/>
        <w:jc w:val="both"/>
        <w:rPr>
          <w:rFonts w:ascii="Times New Roman" w:hAnsi="Times New Roman" w:cs="Times New Roman"/>
          <w:b/>
          <w:bCs/>
          <w:lang w:val="en-US"/>
        </w:rPr>
      </w:pPr>
    </w:p>
    <w:p w14:paraId="00390562" w14:textId="2B191BF9" w:rsidR="004935F3" w:rsidRPr="003B6AD3" w:rsidRDefault="00EC6897" w:rsidP="003B6AD3">
      <w:pPr>
        <w:pStyle w:val="Heading1"/>
        <w:rPr>
          <w:rFonts w:asciiTheme="majorBidi" w:hAnsiTheme="majorBidi"/>
          <w:b/>
          <w:bCs/>
          <w:color w:val="auto"/>
          <w:sz w:val="24"/>
          <w:szCs w:val="24"/>
          <w:lang w:val="en-US"/>
        </w:rPr>
      </w:pPr>
      <w:bookmarkStart w:id="6" w:name="_Toc211444675"/>
      <w:r>
        <w:rPr>
          <w:rFonts w:asciiTheme="majorBidi" w:hAnsiTheme="majorBidi"/>
          <w:b/>
          <w:bCs/>
          <w:color w:val="auto"/>
          <w:sz w:val="24"/>
          <w:szCs w:val="24"/>
          <w:lang w:val="en-US"/>
        </w:rPr>
        <w:t xml:space="preserve">3. </w:t>
      </w:r>
      <w:r w:rsidR="004935F3" w:rsidRPr="003B6AD3">
        <w:rPr>
          <w:rFonts w:asciiTheme="majorBidi" w:hAnsiTheme="majorBidi"/>
          <w:b/>
          <w:bCs/>
          <w:color w:val="auto"/>
          <w:sz w:val="24"/>
          <w:szCs w:val="24"/>
          <w:lang w:val="en-US"/>
        </w:rPr>
        <w:t>F</w:t>
      </w:r>
      <w:r w:rsidR="00C51383" w:rsidRPr="003B6AD3">
        <w:rPr>
          <w:rFonts w:asciiTheme="majorBidi" w:hAnsiTheme="majorBidi"/>
          <w:b/>
          <w:bCs/>
          <w:color w:val="auto"/>
          <w:sz w:val="24"/>
          <w:szCs w:val="24"/>
          <w:lang w:val="en-US"/>
        </w:rPr>
        <w:t>INANCIAL STATEMENT ANALYSIS</w:t>
      </w:r>
      <w:bookmarkEnd w:id="6"/>
      <w:r w:rsidR="00C51383" w:rsidRPr="003B6AD3">
        <w:rPr>
          <w:rFonts w:asciiTheme="majorBidi" w:hAnsiTheme="majorBidi"/>
          <w:b/>
          <w:bCs/>
          <w:color w:val="auto"/>
          <w:sz w:val="24"/>
          <w:szCs w:val="24"/>
          <w:lang w:val="en-US"/>
        </w:rPr>
        <w:t xml:space="preserve"> </w:t>
      </w:r>
      <w:r w:rsidR="004935F3" w:rsidRPr="003B6AD3">
        <w:rPr>
          <w:rFonts w:asciiTheme="majorBidi" w:hAnsiTheme="majorBidi"/>
          <w:b/>
          <w:bCs/>
          <w:color w:val="auto"/>
          <w:sz w:val="24"/>
          <w:szCs w:val="24"/>
          <w:lang w:val="en-US"/>
        </w:rPr>
        <w:t xml:space="preserve"> </w:t>
      </w:r>
    </w:p>
    <w:p w14:paraId="3CC9DD78" w14:textId="09B2591E" w:rsidR="00D87A00" w:rsidRDefault="00D87A00" w:rsidP="00D87A00">
      <w:pPr>
        <w:spacing w:line="360" w:lineRule="auto"/>
        <w:rPr>
          <w:rFonts w:ascii="Times New Roman" w:eastAsia="Aptos" w:hAnsi="Times New Roman" w:cs="Times New Roman"/>
          <w:b/>
          <w:bCs/>
        </w:rPr>
      </w:pPr>
      <w:r>
        <w:rPr>
          <w:rFonts w:ascii="Times New Roman" w:eastAsia="Aptos" w:hAnsi="Times New Roman" w:cs="Times New Roman"/>
          <w:b/>
          <w:bCs/>
        </w:rPr>
        <w:t xml:space="preserve">Shoprite Holdings Ltd. Ratios </w:t>
      </w:r>
    </w:p>
    <w:p w14:paraId="2F261388" w14:textId="77777777" w:rsidR="00D87A00" w:rsidRDefault="00D87A00" w:rsidP="00D87A00">
      <w:pPr>
        <w:spacing w:line="360" w:lineRule="auto"/>
        <w:rPr>
          <w:rFonts w:ascii="Times New Roman" w:eastAsia="Aptos" w:hAnsi="Times New Roman" w:cs="Times New Roman"/>
          <w:b/>
          <w:bCs/>
        </w:rPr>
      </w:pPr>
    </w:p>
    <w:p w14:paraId="30A335E8" w14:textId="77777777" w:rsidR="00D87A00" w:rsidRDefault="00D87A00" w:rsidP="00D87A00">
      <w:pPr>
        <w:spacing w:line="360" w:lineRule="auto"/>
        <w:rPr>
          <w:rFonts w:ascii="Times New Roman" w:eastAsia="Aptos" w:hAnsi="Times New Roman" w:cs="Times New Roman"/>
          <w:b/>
          <w:bCs/>
        </w:rPr>
      </w:pPr>
    </w:p>
    <w:p w14:paraId="32A90B3A" w14:textId="66C63106" w:rsidR="00D87A00" w:rsidRPr="003B6AD3" w:rsidRDefault="003B6AD3" w:rsidP="003B6AD3">
      <w:pPr>
        <w:pStyle w:val="Heading2"/>
        <w:rPr>
          <w:rFonts w:asciiTheme="majorBidi" w:eastAsia="Aptos" w:hAnsiTheme="majorBidi"/>
          <w:b/>
          <w:bCs/>
          <w:sz w:val="24"/>
          <w:szCs w:val="24"/>
        </w:rPr>
      </w:pPr>
      <w:bookmarkStart w:id="7" w:name="_Toc211444676"/>
      <w:r>
        <w:rPr>
          <w:rFonts w:asciiTheme="majorBidi" w:eastAsia="Aptos" w:hAnsiTheme="majorBidi"/>
          <w:b/>
          <w:bCs/>
          <w:color w:val="auto"/>
          <w:sz w:val="24"/>
          <w:szCs w:val="24"/>
        </w:rPr>
        <w:lastRenderedPageBreak/>
        <w:t xml:space="preserve">3.1 </w:t>
      </w:r>
      <w:r w:rsidR="00D87A00" w:rsidRPr="003B6AD3">
        <w:rPr>
          <w:rFonts w:asciiTheme="majorBidi" w:eastAsia="Aptos" w:hAnsiTheme="majorBidi"/>
          <w:b/>
          <w:bCs/>
          <w:color w:val="auto"/>
          <w:sz w:val="24"/>
          <w:szCs w:val="24"/>
        </w:rPr>
        <w:t>Profitability</w:t>
      </w:r>
      <w:bookmarkEnd w:id="7"/>
    </w:p>
    <w:tbl>
      <w:tblPr>
        <w:tblStyle w:val="GridTable4-Accent41"/>
        <w:tblW w:w="13740" w:type="dxa"/>
        <w:tblInd w:w="0" w:type="dxa"/>
        <w:tblLayout w:type="fixed"/>
        <w:tblLook w:val="04A0" w:firstRow="1" w:lastRow="0" w:firstColumn="1" w:lastColumn="0" w:noHBand="0" w:noVBand="1"/>
      </w:tblPr>
      <w:tblGrid>
        <w:gridCol w:w="1419"/>
        <w:gridCol w:w="1719"/>
        <w:gridCol w:w="2808"/>
        <w:gridCol w:w="3968"/>
        <w:gridCol w:w="3826"/>
      </w:tblGrid>
      <w:tr w:rsidR="00D87A00" w:rsidRPr="00D87A00" w14:paraId="0722A4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Pr>
          <w:p w14:paraId="1A206D37" w14:textId="77777777" w:rsidR="00D87A00" w:rsidRPr="00D87A00" w:rsidRDefault="00D87A00" w:rsidP="00D87A00">
            <w:pPr>
              <w:spacing w:line="360" w:lineRule="auto"/>
              <w:rPr>
                <w:rFonts w:ascii="Times New Roman" w:hAnsi="Times New Roman" w:cs="Times New Roman"/>
              </w:rPr>
            </w:pPr>
          </w:p>
        </w:tc>
        <w:tc>
          <w:tcPr>
            <w:tcW w:w="1720" w:type="dxa"/>
            <w:hideMark/>
          </w:tcPr>
          <w:p w14:paraId="690A92D9"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Formula</w:t>
            </w:r>
          </w:p>
        </w:tc>
        <w:tc>
          <w:tcPr>
            <w:tcW w:w="2809" w:type="dxa"/>
            <w:hideMark/>
          </w:tcPr>
          <w:p w14:paraId="55B06DB1"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2022</w:t>
            </w:r>
          </w:p>
        </w:tc>
        <w:tc>
          <w:tcPr>
            <w:tcW w:w="3969" w:type="dxa"/>
            <w:hideMark/>
          </w:tcPr>
          <w:p w14:paraId="6C6CF77D" w14:textId="77777777" w:rsidR="00D87A00" w:rsidRPr="00D87A00" w:rsidRDefault="00D87A00" w:rsidP="00D87A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2023</w:t>
            </w:r>
          </w:p>
        </w:tc>
        <w:tc>
          <w:tcPr>
            <w:tcW w:w="3827" w:type="dxa"/>
            <w:hideMark/>
          </w:tcPr>
          <w:p w14:paraId="2B5F6E99" w14:textId="77777777" w:rsidR="00D87A00" w:rsidRPr="00D87A00" w:rsidRDefault="00D87A00" w:rsidP="00D87A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2024</w:t>
            </w:r>
          </w:p>
        </w:tc>
      </w:tr>
      <w:tr w:rsidR="00D87A00" w:rsidRPr="00D87A00" w14:paraId="0290E4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70F54D7"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Gross Profit Margin</w:t>
            </w:r>
          </w:p>
        </w:tc>
        <w:tc>
          <w:tcPr>
            <w:tcW w:w="17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236AEFA"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Gross Profit/Revenue</w:t>
            </w:r>
          </w:p>
        </w:tc>
        <w:tc>
          <w:tcPr>
            <w:tcW w:w="280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06E34B65"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Cambria Math" w:hAnsi="Cambria Math" w:cs="Times New Roman"/>
              </w:rPr>
            </w:pPr>
          </w:p>
          <w:p w14:paraId="58D0195D"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Cambria Math" w:hAnsi="Cambria Math" w:cs="Times New Roman"/>
              </w:rPr>
            </w:pPr>
            <m:oMathPara>
              <m:oMath>
                <m:f>
                  <m:fPr>
                    <m:ctrlPr>
                      <w:rPr>
                        <w:rFonts w:ascii="Cambria Math" w:hAnsi="Cambria Math" w:cs="Times New Roman"/>
                        <w:i/>
                      </w:rPr>
                    </m:ctrlPr>
                  </m:fPr>
                  <m:num>
                    <m:r>
                      <w:rPr>
                        <w:rFonts w:ascii="Cambria Math" w:hAnsi="Cambria Math" w:cs="Times New Roman"/>
                      </w:rPr>
                      <m:t>45,061</m:t>
                    </m:r>
                  </m:num>
                  <m:den>
                    <m:r>
                      <w:rPr>
                        <w:rFonts w:ascii="Cambria Math" w:hAnsi="Cambria Math" w:cs="Times New Roman"/>
                      </w:rPr>
                      <m:t>187,740</m:t>
                    </m:r>
                  </m:den>
                </m:f>
                <m:r>
                  <w:rPr>
                    <w:rFonts w:ascii="Cambria Math" w:hAnsi="Cambria Math" w:cs="Times New Roman"/>
                  </w:rPr>
                  <m:t>=24%</m:t>
                </m:r>
              </m:oMath>
            </m:oMathPara>
          </w:p>
        </w:tc>
        <w:tc>
          <w:tcPr>
            <w:tcW w:w="396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269F40B"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51,706</m:t>
                    </m:r>
                  </m:num>
                  <m:den>
                    <m:r>
                      <w:rPr>
                        <w:rFonts w:ascii="Cambria Math" w:hAnsi="Cambria Math" w:cs="Times New Roman"/>
                      </w:rPr>
                      <m:t>219,645</m:t>
                    </m:r>
                  </m:den>
                </m:f>
                <m:r>
                  <w:rPr>
                    <w:rFonts w:ascii="Cambria Math" w:hAnsi="Cambria Math" w:cs="Times New Roman"/>
                  </w:rPr>
                  <m:t>=23.5%</m:t>
                </m:r>
              </m:oMath>
            </m:oMathPara>
          </w:p>
        </w:tc>
        <w:tc>
          <w:tcPr>
            <w:tcW w:w="382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5C430CB"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57,750</m:t>
                    </m:r>
                  </m:num>
                  <m:den>
                    <m:r>
                      <w:rPr>
                        <w:rFonts w:ascii="Cambria Math" w:hAnsi="Cambria Math" w:cs="Times New Roman"/>
                      </w:rPr>
                      <m:t>246,082</m:t>
                    </m:r>
                  </m:den>
                </m:f>
                <m:r>
                  <w:rPr>
                    <w:rFonts w:ascii="Cambria Math" w:hAnsi="Cambria Math" w:cs="Times New Roman"/>
                  </w:rPr>
                  <m:t>=23.5%</m:t>
                </m:r>
              </m:oMath>
            </m:oMathPara>
          </w:p>
        </w:tc>
      </w:tr>
      <w:tr w:rsidR="00D87A00" w:rsidRPr="00D87A00" w14:paraId="45DF4E49" w14:textId="77777777">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B893D0F"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Operating Profit Margin</w:t>
            </w:r>
          </w:p>
        </w:tc>
        <w:tc>
          <w:tcPr>
            <w:tcW w:w="17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2AF831BC"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Operating Income / Revenue</w:t>
            </w:r>
          </w:p>
          <w:p w14:paraId="0E98B622"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138FED77"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395A56B"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10,807</m:t>
                    </m:r>
                  </m:num>
                  <m:den>
                    <m:r>
                      <w:rPr>
                        <w:rFonts w:ascii="Cambria Math" w:hAnsi="Cambria Math" w:cs="Times New Roman"/>
                      </w:rPr>
                      <m:t>187,528</m:t>
                    </m:r>
                  </m:den>
                </m:f>
                <m:r>
                  <w:rPr>
                    <w:rFonts w:ascii="Cambria Math" w:hAnsi="Cambria Math" w:cs="Times New Roman"/>
                  </w:rPr>
                  <m:t>=5.8%</m:t>
                </m:r>
              </m:oMath>
            </m:oMathPara>
          </w:p>
        </w:tc>
        <w:tc>
          <w:tcPr>
            <w:tcW w:w="396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EF7B806" w14:textId="77777777" w:rsidR="00D87A00" w:rsidRPr="00D87A00" w:rsidRDefault="00000000" w:rsidP="00D87A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12,347</m:t>
                  </m:r>
                </m:num>
                <m:den>
                  <m:r>
                    <w:rPr>
                      <w:rFonts w:ascii="Cambria Math" w:hAnsi="Cambria Math" w:cs="Times New Roman"/>
                    </w:rPr>
                    <m:t>219,645</m:t>
                  </m:r>
                </m:den>
              </m:f>
              <m:r>
                <w:rPr>
                  <w:rFonts w:ascii="Cambria Math" w:hAnsi="Cambria Math" w:cs="Times New Roman"/>
                </w:rPr>
                <m:t>=</m:t>
              </m:r>
            </m:oMath>
            <w:r w:rsidR="00D87A00" w:rsidRPr="00D87A00">
              <w:rPr>
                <w:rFonts w:ascii="Times New Roman" w:eastAsia="Times New Roman" w:hAnsi="Times New Roman" w:cs="Times New Roman"/>
              </w:rPr>
              <w:t>5.6%</w:t>
            </w:r>
          </w:p>
        </w:tc>
        <w:tc>
          <w:tcPr>
            <w:tcW w:w="382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05B9E94" w14:textId="77777777" w:rsidR="00D87A00" w:rsidRPr="00D87A00" w:rsidRDefault="00000000" w:rsidP="00D87A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13,156</m:t>
                    </m:r>
                  </m:num>
                  <m:den>
                    <m:r>
                      <w:rPr>
                        <w:rFonts w:ascii="Cambria Math" w:hAnsi="Cambria Math" w:cs="Times New Roman"/>
                      </w:rPr>
                      <m:t>246,082</m:t>
                    </m:r>
                  </m:den>
                </m:f>
                <m:r>
                  <w:rPr>
                    <w:rFonts w:ascii="Cambria Math" w:hAnsi="Cambria Math" w:cs="Times New Roman"/>
                  </w:rPr>
                  <m:t>=5.3%</m:t>
                </m:r>
              </m:oMath>
            </m:oMathPara>
          </w:p>
        </w:tc>
      </w:tr>
      <w:tr w:rsidR="00D87A00" w:rsidRPr="00D87A00" w14:paraId="7F8993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2CB1B0A"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Net Profit Margin</w:t>
            </w:r>
          </w:p>
        </w:tc>
        <w:tc>
          <w:tcPr>
            <w:tcW w:w="17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64D92446"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Net Income / Revenue</w:t>
            </w:r>
          </w:p>
          <w:p w14:paraId="795182DE"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0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47167F00"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51302AF"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5,730</m:t>
                    </m:r>
                  </m:num>
                  <m:den>
                    <m:r>
                      <w:rPr>
                        <w:rFonts w:ascii="Cambria Math" w:hAnsi="Cambria Math" w:cs="Times New Roman"/>
                      </w:rPr>
                      <m:t>187,528</m:t>
                    </m:r>
                  </m:den>
                </m:f>
                <m:r>
                  <w:rPr>
                    <w:rFonts w:ascii="Cambria Math" w:hAnsi="Cambria Math" w:cs="Times New Roman"/>
                  </w:rPr>
                  <m:t>=3.1%</m:t>
                </m:r>
              </m:oMath>
            </m:oMathPara>
          </w:p>
        </w:tc>
        <w:tc>
          <w:tcPr>
            <w:tcW w:w="396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55ACBB2"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6,320</m:t>
                    </m:r>
                  </m:num>
                  <m:den>
                    <m:r>
                      <w:rPr>
                        <w:rFonts w:ascii="Cambria Math" w:hAnsi="Cambria Math" w:cs="Times New Roman"/>
                      </w:rPr>
                      <m:t>219,645</m:t>
                    </m:r>
                  </m:den>
                </m:f>
                <m:r>
                  <w:rPr>
                    <w:rFonts w:ascii="Cambria Math" w:hAnsi="Cambria Math" w:cs="Times New Roman"/>
                  </w:rPr>
                  <m:t>=</m:t>
                </m:r>
                <m:r>
                  <w:rPr>
                    <w:rFonts w:ascii="Cambria Math" w:eastAsia="Times New Roman" w:hAnsi="Cambria Math" w:cs="Times New Roman"/>
                  </w:rPr>
                  <m:t>2.9%</m:t>
                </m:r>
              </m:oMath>
            </m:oMathPara>
          </w:p>
        </w:tc>
        <w:tc>
          <w:tcPr>
            <w:tcW w:w="382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7451028"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6,543</m:t>
                    </m:r>
                  </m:num>
                  <m:den>
                    <m:r>
                      <w:rPr>
                        <w:rFonts w:ascii="Cambria Math" w:hAnsi="Cambria Math" w:cs="Times New Roman"/>
                      </w:rPr>
                      <m:t>246,082</m:t>
                    </m:r>
                  </m:den>
                </m:f>
                <m:r>
                  <w:rPr>
                    <w:rFonts w:ascii="Cambria Math" w:hAnsi="Cambria Math" w:cs="Times New Roman"/>
                  </w:rPr>
                  <m:t>=2.7%</m:t>
                </m:r>
              </m:oMath>
            </m:oMathPara>
          </w:p>
        </w:tc>
      </w:tr>
      <w:tr w:rsidR="00D87A00" w:rsidRPr="00D87A00" w14:paraId="7244EA53" w14:textId="77777777">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BF0DA01"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Return on Assets (ROA)</w:t>
            </w:r>
          </w:p>
        </w:tc>
        <w:tc>
          <w:tcPr>
            <w:tcW w:w="17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41E84ED3"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Net Income / Average Total Assets</w:t>
            </w:r>
          </w:p>
          <w:p w14:paraId="0824D52A"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08125DF0"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3AA8413"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5,730</m:t>
                    </m:r>
                  </m:num>
                  <m:den>
                    <m:r>
                      <w:rPr>
                        <w:rFonts w:ascii="Cambria Math" w:hAnsi="Cambria Math" w:cs="Times New Roman"/>
                      </w:rPr>
                      <m:t>(91455+77066)÷2</m:t>
                    </m:r>
                  </m:den>
                </m:f>
                <m:r>
                  <w:rPr>
                    <w:rFonts w:ascii="Cambria Math" w:hAnsi="Cambria Math" w:cs="Times New Roman"/>
                  </w:rPr>
                  <m:t>=6.8%</m:t>
                </m:r>
              </m:oMath>
            </m:oMathPara>
          </w:p>
        </w:tc>
        <w:tc>
          <w:tcPr>
            <w:tcW w:w="396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F99961B" w14:textId="77777777" w:rsidR="00D87A00" w:rsidRPr="00D87A00" w:rsidRDefault="00000000" w:rsidP="00D87A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6,320</m:t>
                    </m:r>
                  </m:num>
                  <m:den>
                    <m:r>
                      <w:rPr>
                        <w:rFonts w:ascii="Cambria Math" w:hAnsi="Cambria Math" w:cs="Times New Roman"/>
                      </w:rPr>
                      <m:t>(102,450+93,756)÷2</m:t>
                    </m:r>
                  </m:den>
                </m:f>
                <m:r>
                  <w:rPr>
                    <w:rFonts w:ascii="Cambria Math" w:hAnsi="Cambria Math" w:cs="Times New Roman"/>
                  </w:rPr>
                  <m:t>=6.4%</m:t>
                </m:r>
              </m:oMath>
            </m:oMathPara>
          </w:p>
        </w:tc>
        <w:tc>
          <w:tcPr>
            <w:tcW w:w="382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2207568" w14:textId="77777777" w:rsidR="00D87A00" w:rsidRPr="00D87A00" w:rsidRDefault="00000000" w:rsidP="00D87A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6,543</m:t>
                    </m:r>
                  </m:num>
                  <m:den>
                    <m:d>
                      <m:dPr>
                        <m:ctrlPr>
                          <w:rPr>
                            <w:rFonts w:ascii="Cambria Math" w:hAnsi="Cambria Math" w:cs="Times New Roman"/>
                            <w:i/>
                          </w:rPr>
                        </m:ctrlPr>
                      </m:dPr>
                      <m:e>
                        <m:r>
                          <w:rPr>
                            <w:rFonts w:ascii="Cambria Math" w:hAnsi="Cambria Math" w:cs="Times New Roman"/>
                          </w:rPr>
                          <m:t>102,460+112,328</m:t>
                        </m:r>
                      </m:e>
                    </m:d>
                    <m:r>
                      <w:rPr>
                        <w:rFonts w:ascii="Cambria Math" w:hAnsi="Cambria Math" w:cs="Times New Roman"/>
                      </w:rPr>
                      <m:t>÷2)</m:t>
                    </m:r>
                  </m:den>
                </m:f>
                <m:r>
                  <w:rPr>
                    <w:rFonts w:ascii="Cambria Math" w:hAnsi="Cambria Math" w:cs="Times New Roman"/>
                  </w:rPr>
                  <m:t>=6.1%</m:t>
                </m:r>
              </m:oMath>
            </m:oMathPara>
          </w:p>
        </w:tc>
      </w:tr>
      <w:tr w:rsidR="00D87A00" w:rsidRPr="00D87A00" w14:paraId="09E5D0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8DE604C"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Return on Equity (ROE)</w:t>
            </w:r>
          </w:p>
        </w:tc>
        <w:tc>
          <w:tcPr>
            <w:tcW w:w="172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66211E0C"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Net Income / Average Shareholders’ Equity</w:t>
            </w:r>
          </w:p>
          <w:p w14:paraId="1F8A956B"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0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2292E24B"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8002877"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5,730</m:t>
                    </m:r>
                  </m:num>
                  <m:den>
                    <m:r>
                      <w:rPr>
                        <w:rFonts w:ascii="Cambria Math" w:hAnsi="Cambria Math" w:cs="Times New Roman"/>
                      </w:rPr>
                      <m:t>(25,627+21,204)÷2</m:t>
                    </m:r>
                  </m:den>
                </m:f>
                <m:r>
                  <w:rPr>
                    <w:rFonts w:ascii="Cambria Math" w:hAnsi="Cambria Math" w:cs="Times New Roman"/>
                  </w:rPr>
                  <m:t>=24.5%</m:t>
                </m:r>
              </m:oMath>
            </m:oMathPara>
          </w:p>
        </w:tc>
        <w:tc>
          <w:tcPr>
            <w:tcW w:w="396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391D598A" w14:textId="77777777" w:rsidR="00D87A00" w:rsidRPr="00D87A00" w:rsidRDefault="00D87A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rPr>
            </w:pPr>
          </w:p>
          <w:p w14:paraId="3600C3CC"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Times New Roman"/>
              </w:rPr>
            </w:pPr>
            <m:oMathPara>
              <m:oMath>
                <m:f>
                  <m:fPr>
                    <m:ctrlPr>
                      <w:rPr>
                        <w:rFonts w:ascii="Cambria Math" w:hAnsi="Cambria Math" w:cs="Times New Roman"/>
                        <w:i/>
                      </w:rPr>
                    </m:ctrlPr>
                  </m:fPr>
                  <m:num>
                    <m:r>
                      <w:rPr>
                        <w:rFonts w:ascii="Cambria Math" w:hAnsi="Cambria Math" w:cs="Times New Roman"/>
                      </w:rPr>
                      <m:t>6.320</m:t>
                    </m:r>
                  </m:num>
                  <m:den>
                    <m:r>
                      <w:rPr>
                        <w:rFonts w:ascii="Cambria Math" w:hAnsi="Cambria Math" w:cs="Times New Roman"/>
                      </w:rPr>
                      <m:t>(26,278+25,627)÷2</m:t>
                    </m:r>
                  </m:den>
                </m:f>
                <m:r>
                  <w:rPr>
                    <w:rFonts w:ascii="Cambria Math" w:hAnsi="Cambria Math" w:cs="Times New Roman"/>
                  </w:rPr>
                  <m:t>=24.4%</m:t>
                </m:r>
              </m:oMath>
            </m:oMathPara>
          </w:p>
        </w:tc>
        <w:tc>
          <w:tcPr>
            <w:tcW w:w="382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56643995"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p w14:paraId="5E01E61D"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6543</m:t>
                    </m:r>
                  </m:num>
                  <m:den>
                    <m:r>
                      <w:rPr>
                        <w:rFonts w:ascii="Cambria Math" w:hAnsi="Cambria Math" w:cs="Times New Roman"/>
                      </w:rPr>
                      <m:t>(27724+26, 278)÷2</m:t>
                    </m:r>
                  </m:den>
                </m:f>
                <m:r>
                  <w:rPr>
                    <w:rFonts w:ascii="Cambria Math" w:hAnsi="Cambria Math" w:cs="Times New Roman"/>
                  </w:rPr>
                  <m:t>=24.2%</m:t>
                </m:r>
              </m:oMath>
            </m:oMathPara>
          </w:p>
        </w:tc>
      </w:tr>
    </w:tbl>
    <w:p w14:paraId="50763900" w14:textId="77777777" w:rsidR="00D87A00" w:rsidRPr="00D87A00" w:rsidRDefault="00D87A00" w:rsidP="00D87A00">
      <w:pPr>
        <w:spacing w:line="360" w:lineRule="auto"/>
        <w:rPr>
          <w:rFonts w:ascii="Times New Roman" w:eastAsia="Aptos" w:hAnsi="Times New Roman" w:cs="Times New Roman"/>
          <w:i/>
          <w:iCs/>
        </w:rPr>
      </w:pPr>
      <w:r w:rsidRPr="00D87A00">
        <w:rPr>
          <w:rFonts w:ascii="Times New Roman" w:eastAsia="Aptos" w:hAnsi="Times New Roman" w:cs="Times New Roman"/>
          <w:i/>
          <w:iCs/>
        </w:rPr>
        <w:t>Source: Shoprite report</w:t>
      </w:r>
    </w:p>
    <w:p w14:paraId="627592F5"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lastRenderedPageBreak/>
        <w:t>Shoprite’s profitability remained strong and stable from 2022 to 2024, though margins showed slight declines. The gross profit margin remained steady at around 23–24%, while operating and net profit margins declined modestly due to rising operating and financing costs. The return on assets declined slightly as the company expanded its asset base, but the return on equity remained high at approximately 24%, reflecting the efficient use of shareholders’ funds and sustained profitability despite cost pressures.</w:t>
      </w:r>
    </w:p>
    <w:p w14:paraId="5393B8AA" w14:textId="2B1D7ABB" w:rsidR="00D87A00" w:rsidRPr="003B6AD3" w:rsidRDefault="003B6AD3" w:rsidP="003B6AD3">
      <w:pPr>
        <w:pStyle w:val="Heading3"/>
        <w:rPr>
          <w:rFonts w:asciiTheme="majorBidi" w:eastAsia="Aptos" w:hAnsiTheme="majorBidi"/>
          <w:b/>
          <w:bCs/>
          <w:color w:val="auto"/>
          <w:sz w:val="24"/>
          <w:szCs w:val="24"/>
          <w:lang w:val="en-US"/>
        </w:rPr>
      </w:pPr>
      <w:bookmarkStart w:id="8" w:name="_Toc211444677"/>
      <w:r w:rsidRPr="003B6AD3">
        <w:rPr>
          <w:rFonts w:asciiTheme="majorBidi" w:eastAsia="Aptos" w:hAnsiTheme="majorBidi"/>
          <w:b/>
          <w:bCs/>
          <w:color w:val="auto"/>
          <w:sz w:val="24"/>
          <w:szCs w:val="24"/>
          <w:lang w:val="en-US"/>
        </w:rPr>
        <w:t>3.2 Liquidity</w:t>
      </w:r>
      <w:bookmarkEnd w:id="8"/>
    </w:p>
    <w:tbl>
      <w:tblPr>
        <w:tblStyle w:val="GridTable4-Accent41"/>
        <w:tblW w:w="0" w:type="auto"/>
        <w:tblInd w:w="0" w:type="dxa"/>
        <w:tblLook w:val="04A0" w:firstRow="1" w:lastRow="0" w:firstColumn="1" w:lastColumn="0" w:noHBand="0" w:noVBand="1"/>
      </w:tblPr>
      <w:tblGrid>
        <w:gridCol w:w="2324"/>
        <w:gridCol w:w="2324"/>
        <w:gridCol w:w="2325"/>
        <w:gridCol w:w="2325"/>
        <w:gridCol w:w="2325"/>
      </w:tblGrid>
      <w:tr w:rsidR="00D87A00" w:rsidRPr="00D87A00" w14:paraId="422115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hideMark/>
          </w:tcPr>
          <w:p w14:paraId="65202EAB"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lang w:val="en-US"/>
              </w:rPr>
              <w:t>Liquidity</w:t>
            </w:r>
          </w:p>
        </w:tc>
        <w:tc>
          <w:tcPr>
            <w:tcW w:w="2324" w:type="dxa"/>
            <w:hideMark/>
          </w:tcPr>
          <w:p w14:paraId="1EAB38F4"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Formula</w:t>
            </w:r>
          </w:p>
        </w:tc>
        <w:tc>
          <w:tcPr>
            <w:tcW w:w="2325" w:type="dxa"/>
            <w:hideMark/>
          </w:tcPr>
          <w:p w14:paraId="29B4B286"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2022</w:t>
            </w:r>
          </w:p>
          <w:p w14:paraId="143175E8"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c>
          <w:tcPr>
            <w:tcW w:w="2325" w:type="dxa"/>
            <w:hideMark/>
          </w:tcPr>
          <w:p w14:paraId="4884F3BD"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2023</w:t>
            </w:r>
          </w:p>
          <w:p w14:paraId="2F8764D1"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c>
          <w:tcPr>
            <w:tcW w:w="2325" w:type="dxa"/>
            <w:hideMark/>
          </w:tcPr>
          <w:p w14:paraId="78336084"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2024</w:t>
            </w:r>
          </w:p>
          <w:p w14:paraId="660AA9CD"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r>
      <w:tr w:rsidR="00D87A00" w:rsidRPr="00D87A00" w14:paraId="6D21ED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A4015C0"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rPr>
              <w:t>Current Ratio</w:t>
            </w:r>
          </w:p>
        </w:tc>
        <w:tc>
          <w:tcPr>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78F12BB"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Current Assets / Current Liabilities</w:t>
            </w:r>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6CE81AD"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39,673</m:t>
                    </m:r>
                  </m:num>
                  <m:den>
                    <m:r>
                      <w:rPr>
                        <w:rFonts w:ascii="Cambria Math" w:hAnsi="Cambria Math" w:cs="Times New Roman"/>
                      </w:rPr>
                      <m:t>32,488</m:t>
                    </m:r>
                  </m:den>
                </m:f>
                <m:r>
                  <w:rPr>
                    <w:rFonts w:ascii="Cambria Math" w:hAnsi="Cambria Math" w:cs="Times New Roman"/>
                  </w:rPr>
                  <m:t>=1.22</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B519958"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47,965</m:t>
                    </m:r>
                  </m:num>
                  <m:den>
                    <m:r>
                      <w:rPr>
                        <w:rFonts w:ascii="Cambria Math" w:hAnsi="Cambria Math" w:cs="Times New Roman"/>
                        <w:lang w:val="en-US"/>
                      </w:rPr>
                      <m:t>37,441</m:t>
                    </m:r>
                  </m:den>
                </m:f>
                <m:r>
                  <w:rPr>
                    <w:rFonts w:ascii="Cambria Math" w:hAnsi="Cambria Math" w:cs="Times New Roman"/>
                    <w:lang w:val="en-US"/>
                  </w:rPr>
                  <m:t>=1.28</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474BA74"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50,059</m:t>
                    </m:r>
                  </m:num>
                  <m:den>
                    <m:r>
                      <w:rPr>
                        <w:rFonts w:ascii="Cambria Math" w:hAnsi="Cambria Math" w:cs="Times New Roman"/>
                      </w:rPr>
                      <m:t>41,538</m:t>
                    </m:r>
                  </m:den>
                </m:f>
                <m:r>
                  <w:rPr>
                    <w:rFonts w:ascii="Cambria Math" w:hAnsi="Cambria Math" w:cs="Times New Roman"/>
                  </w:rPr>
                  <m:t>=1.21</m:t>
                </m:r>
              </m:oMath>
            </m:oMathPara>
          </w:p>
        </w:tc>
      </w:tr>
      <w:tr w:rsidR="00D87A00" w:rsidRPr="00D87A00" w14:paraId="61DD04BF" w14:textId="77777777">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993B20E"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rPr>
              <w:t>Quick Ratio</w:t>
            </w:r>
          </w:p>
        </w:tc>
        <w:tc>
          <w:tcPr>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222A89D"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Cash + Marketable Securities + Receivable / current Liabilities</w:t>
            </w:r>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6AB6D98"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rPr>
                      <m:t>10,665+21,879</m:t>
                    </m:r>
                  </m:num>
                  <m:den>
                    <m:r>
                      <w:rPr>
                        <w:rFonts w:ascii="Cambria Math" w:hAnsi="Cambria Math" w:cs="Times New Roman"/>
                      </w:rPr>
                      <m:t>32,488</m:t>
                    </m:r>
                  </m:den>
                </m:f>
                <m:r>
                  <w:rPr>
                    <w:rFonts w:ascii="Cambria Math" w:hAnsi="Cambria Math" w:cs="Times New Roman"/>
                    <w:lang w:val="en-US"/>
                  </w:rPr>
                  <m:t>=1.00</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99842E6"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rPr>
                      <m:t>12,548+5,697</m:t>
                    </m:r>
                  </m:num>
                  <m:den>
                    <m:r>
                      <w:rPr>
                        <w:rFonts w:ascii="Cambria Math" w:hAnsi="Cambria Math" w:cs="Times New Roman"/>
                      </w:rPr>
                      <m:t>37,441</m:t>
                    </m:r>
                  </m:den>
                </m:f>
                <m:r>
                  <w:rPr>
                    <w:rFonts w:ascii="Cambria Math" w:hAnsi="Cambria Math" w:cs="Times New Roman"/>
                    <w:lang w:val="en-US"/>
                  </w:rPr>
                  <m:t>=0.49</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14B53DD"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11,732+6,298</m:t>
                    </m:r>
                  </m:num>
                  <m:den>
                    <m:r>
                      <w:rPr>
                        <w:rFonts w:ascii="Cambria Math" w:hAnsi="Cambria Math" w:cs="Times New Roman"/>
                      </w:rPr>
                      <m:t>41,538</m:t>
                    </m:r>
                  </m:den>
                </m:f>
                <m:r>
                  <w:rPr>
                    <w:rFonts w:ascii="Cambria Math" w:hAnsi="Cambria Math" w:cs="Times New Roman"/>
                  </w:rPr>
                  <m:t>=1.33</m:t>
                </m:r>
              </m:oMath>
            </m:oMathPara>
          </w:p>
        </w:tc>
      </w:tr>
      <w:tr w:rsidR="00D87A00" w:rsidRPr="00D87A00" w14:paraId="56192C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70C0DD1"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rPr>
              <w:t>Cash Ratio</w:t>
            </w:r>
          </w:p>
        </w:tc>
        <w:tc>
          <w:tcPr>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47B037D"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Cash + Marketable securities / Current Liabilities</w:t>
            </w:r>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E418FEE"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10,665</m:t>
                    </m:r>
                  </m:num>
                  <m:den>
                    <m:r>
                      <w:rPr>
                        <w:rFonts w:ascii="Cambria Math" w:hAnsi="Cambria Math" w:cs="Times New Roman"/>
                      </w:rPr>
                      <m:t>32,488</m:t>
                    </m:r>
                  </m:den>
                </m:f>
                <m:r>
                  <w:rPr>
                    <w:rFonts w:ascii="Cambria Math" w:hAnsi="Cambria Math" w:cs="Times New Roman"/>
                  </w:rPr>
                  <m:t>=0.33</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43B55CE"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12,548</m:t>
                    </m:r>
                  </m:num>
                  <m:den>
                    <m:r>
                      <w:rPr>
                        <w:rFonts w:ascii="Cambria Math" w:hAnsi="Cambria Math" w:cs="Times New Roman"/>
                        <w:lang w:val="en-US"/>
                      </w:rPr>
                      <m:t>37,441</m:t>
                    </m:r>
                  </m:den>
                </m:f>
                <m:r>
                  <w:rPr>
                    <w:rFonts w:ascii="Cambria Math" w:hAnsi="Cambria Math" w:cs="Times New Roman"/>
                    <w:lang w:val="en-US"/>
                  </w:rPr>
                  <m:t>=0.34</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357B075"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11,732</m:t>
                    </m:r>
                  </m:num>
                  <m:den>
                    <m:r>
                      <w:rPr>
                        <w:rFonts w:ascii="Cambria Math" w:hAnsi="Cambria Math" w:cs="Times New Roman"/>
                      </w:rPr>
                      <m:t>41,538</m:t>
                    </m:r>
                  </m:den>
                </m:f>
                <m:r>
                  <w:rPr>
                    <w:rFonts w:ascii="Cambria Math" w:hAnsi="Cambria Math" w:cs="Times New Roman"/>
                  </w:rPr>
                  <m:t>=1.18</m:t>
                </m:r>
              </m:oMath>
            </m:oMathPara>
          </w:p>
        </w:tc>
      </w:tr>
    </w:tbl>
    <w:p w14:paraId="1EC1AD78" w14:textId="77777777" w:rsidR="00D87A00" w:rsidRPr="00D87A00" w:rsidRDefault="00D87A00" w:rsidP="00D87A00">
      <w:pPr>
        <w:spacing w:line="360" w:lineRule="auto"/>
        <w:jc w:val="both"/>
        <w:rPr>
          <w:rFonts w:ascii="Times New Roman" w:eastAsia="Aptos" w:hAnsi="Times New Roman" w:cs="Times New Roman"/>
          <w:i/>
          <w:iCs/>
          <w:lang w:val="en-US"/>
        </w:rPr>
      </w:pPr>
      <w:r w:rsidRPr="00D87A00">
        <w:rPr>
          <w:rFonts w:ascii="Times New Roman" w:eastAsia="Aptos" w:hAnsi="Times New Roman" w:cs="Times New Roman"/>
          <w:i/>
          <w:iCs/>
          <w:lang w:val="en-US"/>
        </w:rPr>
        <w:t>Source: Shoprite report</w:t>
      </w:r>
    </w:p>
    <w:p w14:paraId="0728A1A0" w14:textId="77777777" w:rsidR="00D87A00" w:rsidRPr="00D87A00" w:rsidRDefault="00D87A00" w:rsidP="00D87A00">
      <w:pPr>
        <w:spacing w:line="360" w:lineRule="auto"/>
        <w:jc w:val="both"/>
        <w:rPr>
          <w:rFonts w:ascii="Times New Roman" w:eastAsia="Aptos" w:hAnsi="Times New Roman" w:cs="Times New Roman"/>
          <w:lang w:val="en-US"/>
        </w:rPr>
      </w:pPr>
      <w:r w:rsidRPr="00D87A00">
        <w:rPr>
          <w:rFonts w:ascii="Times New Roman" w:eastAsia="Aptos" w:hAnsi="Times New Roman" w:cs="Times New Roman"/>
        </w:rPr>
        <w:t>ShopRite’s liquidity position is stable and strong. The current ratio remains above 1.2, indicating adequate coverage of short-term obligations. The quick and cash ratios improved significantly in 2024, rising to 1.33 and 1.18. This reflects a strong ability to meet short-term debts without selling inventory and indicates a solid liquidity buffer.</w:t>
      </w:r>
    </w:p>
    <w:p w14:paraId="3CCD201C" w14:textId="262BAE50" w:rsidR="00D87A00" w:rsidRPr="003B6AD3" w:rsidRDefault="003B6AD3" w:rsidP="003B6AD3">
      <w:pPr>
        <w:pStyle w:val="Heading3"/>
        <w:rPr>
          <w:rFonts w:asciiTheme="majorBidi" w:eastAsia="Aptos" w:hAnsiTheme="majorBidi"/>
          <w:b/>
          <w:bCs/>
          <w:color w:val="auto"/>
          <w:sz w:val="24"/>
          <w:szCs w:val="24"/>
        </w:rPr>
      </w:pPr>
      <w:bookmarkStart w:id="9" w:name="_Toc211444678"/>
      <w:r w:rsidRPr="003B6AD3">
        <w:rPr>
          <w:rFonts w:asciiTheme="majorBidi" w:eastAsia="Aptos" w:hAnsiTheme="majorBidi"/>
          <w:b/>
          <w:bCs/>
          <w:color w:val="auto"/>
          <w:sz w:val="24"/>
          <w:szCs w:val="24"/>
        </w:rPr>
        <w:lastRenderedPageBreak/>
        <w:t>3.</w:t>
      </w:r>
      <w:r>
        <w:rPr>
          <w:rFonts w:asciiTheme="majorBidi" w:eastAsia="Aptos" w:hAnsiTheme="majorBidi"/>
          <w:b/>
          <w:bCs/>
          <w:color w:val="auto"/>
          <w:sz w:val="24"/>
          <w:szCs w:val="24"/>
        </w:rPr>
        <w:t>3.</w:t>
      </w:r>
      <w:r w:rsidRPr="003B6AD3">
        <w:rPr>
          <w:rFonts w:asciiTheme="majorBidi" w:eastAsia="Aptos" w:hAnsiTheme="majorBidi"/>
          <w:b/>
          <w:bCs/>
          <w:color w:val="auto"/>
          <w:sz w:val="24"/>
          <w:szCs w:val="24"/>
        </w:rPr>
        <w:t xml:space="preserve"> </w:t>
      </w:r>
      <w:r w:rsidR="00D87A00" w:rsidRPr="003B6AD3">
        <w:rPr>
          <w:rFonts w:asciiTheme="majorBidi" w:eastAsia="Aptos" w:hAnsiTheme="majorBidi"/>
          <w:b/>
          <w:bCs/>
          <w:color w:val="auto"/>
          <w:sz w:val="24"/>
          <w:szCs w:val="24"/>
        </w:rPr>
        <w:t>Leverage (Solvency)</w:t>
      </w:r>
      <w:bookmarkEnd w:id="9"/>
    </w:p>
    <w:tbl>
      <w:tblPr>
        <w:tblStyle w:val="GridTable4-Accent41"/>
        <w:tblW w:w="0" w:type="auto"/>
        <w:tblInd w:w="0" w:type="dxa"/>
        <w:tblLook w:val="04A0" w:firstRow="1" w:lastRow="0" w:firstColumn="1" w:lastColumn="0" w:noHBand="0" w:noVBand="1"/>
      </w:tblPr>
      <w:tblGrid>
        <w:gridCol w:w="2514"/>
        <w:gridCol w:w="2565"/>
        <w:gridCol w:w="3280"/>
        <w:gridCol w:w="2409"/>
        <w:gridCol w:w="2835"/>
      </w:tblGrid>
      <w:tr w:rsidR="00D87A00" w:rsidRPr="00D87A00" w14:paraId="59223BA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2455B9BA" w14:textId="77777777" w:rsidR="00D87A00" w:rsidRPr="00D87A00" w:rsidRDefault="00D87A00" w:rsidP="00D87A00">
            <w:pPr>
              <w:spacing w:line="360" w:lineRule="auto"/>
              <w:rPr>
                <w:rFonts w:ascii="Times New Roman" w:hAnsi="Times New Roman" w:cs="Times New Roman"/>
              </w:rPr>
            </w:pPr>
          </w:p>
        </w:tc>
        <w:tc>
          <w:tcPr>
            <w:tcW w:w="2565" w:type="dxa"/>
            <w:hideMark/>
          </w:tcPr>
          <w:p w14:paraId="07C2C919"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Formula</w:t>
            </w:r>
          </w:p>
        </w:tc>
        <w:tc>
          <w:tcPr>
            <w:tcW w:w="3280" w:type="dxa"/>
            <w:hideMark/>
          </w:tcPr>
          <w:p w14:paraId="56A98438"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2022</w:t>
            </w:r>
          </w:p>
        </w:tc>
        <w:tc>
          <w:tcPr>
            <w:tcW w:w="2409" w:type="dxa"/>
            <w:hideMark/>
          </w:tcPr>
          <w:p w14:paraId="404244C4"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2023</w:t>
            </w:r>
          </w:p>
        </w:tc>
        <w:tc>
          <w:tcPr>
            <w:tcW w:w="2835" w:type="dxa"/>
            <w:hideMark/>
          </w:tcPr>
          <w:p w14:paraId="4954E6AC"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2024</w:t>
            </w:r>
          </w:p>
        </w:tc>
      </w:tr>
      <w:tr w:rsidR="00D87A00" w:rsidRPr="00D87A00" w14:paraId="6F5999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157A0CF"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 xml:space="preserve">Debt to Equity </w:t>
            </w:r>
          </w:p>
        </w:tc>
        <w:tc>
          <w:tcPr>
            <w:tcW w:w="256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9C0D394"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Total Liabilities/ Total Equity</w:t>
            </w:r>
          </w:p>
        </w:tc>
        <w:tc>
          <w:tcPr>
            <w:tcW w:w="328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581BF51"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65,828</m:t>
                    </m:r>
                  </m:num>
                  <m:den>
                    <m:r>
                      <w:rPr>
                        <w:rFonts w:ascii="Cambria Math" w:hAnsi="Cambria Math" w:cs="Times New Roman"/>
                      </w:rPr>
                      <m:t>25,627</m:t>
                    </m:r>
                  </m:den>
                </m:f>
                <m:r>
                  <w:rPr>
                    <w:rFonts w:ascii="Cambria Math" w:hAnsi="Cambria Math" w:cs="Times New Roman"/>
                  </w:rPr>
                  <m:t>=2.57</m:t>
                </m:r>
              </m:oMath>
            </m:oMathPara>
          </w:p>
        </w:tc>
        <w:tc>
          <w:tcPr>
            <w:tcW w:w="240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D954523"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76,078</m:t>
                    </m:r>
                  </m:num>
                  <m:den>
                    <m:r>
                      <w:rPr>
                        <w:rFonts w:ascii="Cambria Math" w:hAnsi="Cambria Math" w:cs="Times New Roman"/>
                      </w:rPr>
                      <m:t>26278</m:t>
                    </m:r>
                  </m:den>
                </m:f>
                <m:r>
                  <w:rPr>
                    <w:rFonts w:ascii="Cambria Math" w:hAnsi="Cambria Math" w:cs="Times New Roman"/>
                  </w:rPr>
                  <m:t>=2.90</m:t>
                </m:r>
              </m:oMath>
            </m:oMathPara>
          </w:p>
        </w:tc>
        <w:tc>
          <w:tcPr>
            <w:tcW w:w="283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28A5130"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84,604</m:t>
                    </m:r>
                  </m:num>
                  <m:den>
                    <m:r>
                      <w:rPr>
                        <w:rFonts w:ascii="Cambria Math" w:hAnsi="Cambria Math" w:cs="Times New Roman"/>
                      </w:rPr>
                      <m:t>27724</m:t>
                    </m:r>
                  </m:den>
                </m:f>
                <m:r>
                  <w:rPr>
                    <w:rFonts w:ascii="Cambria Math" w:hAnsi="Cambria Math" w:cs="Times New Roman"/>
                  </w:rPr>
                  <m:t>=3.05</m:t>
                </m:r>
              </m:oMath>
            </m:oMathPara>
          </w:p>
        </w:tc>
      </w:tr>
      <w:tr w:rsidR="00D87A00" w:rsidRPr="00D87A00" w14:paraId="1C4B3EE6" w14:textId="77777777">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B6FD387"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Debt to Assets</w:t>
            </w:r>
          </w:p>
        </w:tc>
        <w:tc>
          <w:tcPr>
            <w:tcW w:w="256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C12B6C9"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 xml:space="preserve">Total Liabilities/ Total Assets </w:t>
            </w:r>
          </w:p>
        </w:tc>
        <w:tc>
          <w:tcPr>
            <w:tcW w:w="328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4FB2792"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65,828</m:t>
                    </m:r>
                  </m:num>
                  <m:den>
                    <m:r>
                      <w:rPr>
                        <w:rFonts w:ascii="Cambria Math" w:hAnsi="Cambria Math" w:cs="Times New Roman"/>
                      </w:rPr>
                      <m:t>91,455</m:t>
                    </m:r>
                  </m:den>
                </m:f>
                <m:r>
                  <w:rPr>
                    <w:rFonts w:ascii="Cambria Math" w:hAnsi="Cambria Math" w:cs="Times New Roman"/>
                  </w:rPr>
                  <m:t>=0.72</m:t>
                </m:r>
              </m:oMath>
            </m:oMathPara>
          </w:p>
        </w:tc>
        <w:tc>
          <w:tcPr>
            <w:tcW w:w="240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229CAE7"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76,078</m:t>
                    </m:r>
                  </m:num>
                  <m:den>
                    <m:r>
                      <w:rPr>
                        <w:rFonts w:ascii="Cambria Math" w:hAnsi="Cambria Math" w:cs="Times New Roman"/>
                      </w:rPr>
                      <m:t>102,356</m:t>
                    </m:r>
                  </m:den>
                </m:f>
                <m:r>
                  <w:rPr>
                    <w:rFonts w:ascii="Cambria Math" w:hAnsi="Cambria Math" w:cs="Times New Roman"/>
                  </w:rPr>
                  <m:t>=0.74</m:t>
                </m:r>
              </m:oMath>
            </m:oMathPara>
          </w:p>
        </w:tc>
        <w:tc>
          <w:tcPr>
            <w:tcW w:w="283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859E8F8"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84,604</m:t>
                    </m:r>
                  </m:num>
                  <m:den>
                    <m:r>
                      <w:rPr>
                        <w:rFonts w:ascii="Cambria Math" w:hAnsi="Cambria Math" w:cs="Times New Roman"/>
                      </w:rPr>
                      <m:t>112,328</m:t>
                    </m:r>
                  </m:den>
                </m:f>
                <m:r>
                  <w:rPr>
                    <w:rFonts w:ascii="Cambria Math" w:hAnsi="Cambria Math" w:cs="Times New Roman"/>
                  </w:rPr>
                  <m:t>=0.75</m:t>
                </m:r>
              </m:oMath>
            </m:oMathPara>
          </w:p>
        </w:tc>
      </w:tr>
      <w:tr w:rsidR="00D87A00" w:rsidRPr="00D87A00" w14:paraId="5F6280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DB8B801"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Interest Coverage</w:t>
            </w:r>
          </w:p>
        </w:tc>
        <w:tc>
          <w:tcPr>
            <w:tcW w:w="256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277A58E"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EBIT / Interest expense</w:t>
            </w:r>
          </w:p>
        </w:tc>
        <w:tc>
          <w:tcPr>
            <w:tcW w:w="328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316EBFD"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10,807</m:t>
                    </m:r>
                  </m:num>
                  <m:den>
                    <m:r>
                      <w:rPr>
                        <w:rFonts w:ascii="Cambria Math" w:hAnsi="Cambria Math" w:cs="Times New Roman"/>
                      </w:rPr>
                      <m:t>2,999</m:t>
                    </m:r>
                  </m:den>
                </m:f>
                <m:r>
                  <w:rPr>
                    <w:rFonts w:ascii="Cambria Math" w:hAnsi="Cambria Math" w:cs="Times New Roman"/>
                  </w:rPr>
                  <m:t>=3.61</m:t>
                </m:r>
              </m:oMath>
            </m:oMathPara>
          </w:p>
        </w:tc>
        <w:tc>
          <w:tcPr>
            <w:tcW w:w="2409"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168139D"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12,344</m:t>
                    </m:r>
                  </m:num>
                  <m:den>
                    <m:r>
                      <w:rPr>
                        <w:rFonts w:ascii="Cambria Math" w:hAnsi="Cambria Math" w:cs="Times New Roman"/>
                      </w:rPr>
                      <m:t>3,665</m:t>
                    </m:r>
                  </m:den>
                </m:f>
                <m:r>
                  <w:rPr>
                    <w:rFonts w:ascii="Cambria Math" w:hAnsi="Cambria Math" w:cs="Times New Roman"/>
                  </w:rPr>
                  <m:t>=3.37</m:t>
                </m:r>
              </m:oMath>
            </m:oMathPara>
          </w:p>
        </w:tc>
        <w:tc>
          <w:tcPr>
            <w:tcW w:w="283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0C5628C"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13,156</m:t>
                    </m:r>
                  </m:num>
                  <m:den>
                    <m:r>
                      <w:rPr>
                        <w:rFonts w:ascii="Cambria Math" w:hAnsi="Cambria Math" w:cs="Times New Roman"/>
                      </w:rPr>
                      <m:t>4,306</m:t>
                    </m:r>
                  </m:den>
                </m:f>
                <m:r>
                  <w:rPr>
                    <w:rFonts w:ascii="Cambria Math" w:hAnsi="Cambria Math" w:cs="Times New Roman"/>
                  </w:rPr>
                  <m:t>=3.05</m:t>
                </m:r>
              </m:oMath>
            </m:oMathPara>
          </w:p>
        </w:tc>
      </w:tr>
    </w:tbl>
    <w:p w14:paraId="60D59CF9" w14:textId="77777777" w:rsidR="00D87A00" w:rsidRPr="00D87A00" w:rsidRDefault="00D87A00" w:rsidP="00D87A00">
      <w:pPr>
        <w:spacing w:line="360" w:lineRule="auto"/>
        <w:rPr>
          <w:rFonts w:ascii="Times New Roman" w:eastAsia="Aptos" w:hAnsi="Times New Roman" w:cs="Times New Roman"/>
          <w:i/>
          <w:iCs/>
        </w:rPr>
      </w:pPr>
      <w:r w:rsidRPr="00D87A00">
        <w:rPr>
          <w:rFonts w:ascii="Times New Roman" w:eastAsia="Aptos" w:hAnsi="Times New Roman" w:cs="Times New Roman"/>
          <w:i/>
          <w:iCs/>
        </w:rPr>
        <w:t>Source: Shoprite Report</w:t>
      </w:r>
    </w:p>
    <w:p w14:paraId="7DF3EAE6" w14:textId="77777777" w:rsid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Shoprite’s solvency ratios show a gradual increase in financial leverage from 2022 to 2024. The debt-to-equity ratio rose from 2.57 to 3.05, indicating greater reliance on debt financing to fund operations and expansion. Similarly, the debt-to-assets ratio increased slightly from 0.72 to 0.75, meaning a larger portion of assets is financed through liabilities. Meanwhile, the interest coverage ratio declined from 3.61 to 3.05, suggesting reduced capacity to cover interest expenses from operating profits. Overall, Shoprite remains financially stable but is becoming more leveraged, which could increase financial risk if borrowing costs continue to rise.</w:t>
      </w:r>
    </w:p>
    <w:p w14:paraId="2F845129" w14:textId="563C5036" w:rsidR="003B6AD3" w:rsidRPr="00EC6897" w:rsidRDefault="003B6AD3" w:rsidP="00EC6897">
      <w:pPr>
        <w:pStyle w:val="Heading6"/>
        <w:rPr>
          <w:rFonts w:asciiTheme="majorBidi" w:eastAsia="Aptos" w:hAnsiTheme="majorBidi"/>
          <w:b/>
          <w:bCs/>
          <w:i w:val="0"/>
          <w:iCs w:val="0"/>
          <w:color w:val="auto"/>
        </w:rPr>
      </w:pPr>
      <w:r w:rsidRPr="00EC6897">
        <w:rPr>
          <w:rFonts w:asciiTheme="majorBidi" w:eastAsia="Aptos" w:hAnsiTheme="majorBidi"/>
          <w:b/>
          <w:bCs/>
          <w:i w:val="0"/>
          <w:iCs w:val="0"/>
          <w:color w:val="auto"/>
        </w:rPr>
        <w:t>3.5 Efficiency Ratio</w:t>
      </w:r>
    </w:p>
    <w:tbl>
      <w:tblPr>
        <w:tblStyle w:val="GridTable4-Accent41"/>
        <w:tblW w:w="0" w:type="auto"/>
        <w:tblInd w:w="0" w:type="dxa"/>
        <w:tblLook w:val="04A0" w:firstRow="1" w:lastRow="0" w:firstColumn="1" w:lastColumn="0" w:noHBand="0" w:noVBand="1"/>
      </w:tblPr>
      <w:tblGrid>
        <w:gridCol w:w="1948"/>
        <w:gridCol w:w="1966"/>
        <w:gridCol w:w="2548"/>
        <w:gridCol w:w="2681"/>
        <w:gridCol w:w="2814"/>
      </w:tblGrid>
      <w:tr w:rsidR="00D87A00" w:rsidRPr="00D87A00" w14:paraId="1FDB6B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11876FB8"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lang w:val="en-US"/>
              </w:rPr>
              <w:t>Efficiency Ratio</w:t>
            </w:r>
          </w:p>
        </w:tc>
        <w:tc>
          <w:tcPr>
            <w:tcW w:w="1966" w:type="dxa"/>
            <w:hideMark/>
          </w:tcPr>
          <w:p w14:paraId="13D5AA8E"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Formula</w:t>
            </w:r>
          </w:p>
        </w:tc>
        <w:tc>
          <w:tcPr>
            <w:tcW w:w="2548" w:type="dxa"/>
            <w:hideMark/>
          </w:tcPr>
          <w:p w14:paraId="06FCD2B8"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2022</w:t>
            </w:r>
          </w:p>
          <w:p w14:paraId="2C2C9B1C"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c>
          <w:tcPr>
            <w:tcW w:w="2681" w:type="dxa"/>
            <w:hideMark/>
          </w:tcPr>
          <w:p w14:paraId="464758D7"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2023</w:t>
            </w:r>
          </w:p>
          <w:p w14:paraId="3A27F783"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c>
          <w:tcPr>
            <w:tcW w:w="2814" w:type="dxa"/>
            <w:hideMark/>
          </w:tcPr>
          <w:p w14:paraId="2A4F3A67"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2024</w:t>
            </w:r>
          </w:p>
          <w:p w14:paraId="3C8044C7" w14:textId="77777777" w:rsidR="00D87A00" w:rsidRPr="00D87A00" w:rsidRDefault="00D87A00" w:rsidP="00D87A0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r>
      <w:tr w:rsidR="00D87A00" w:rsidRPr="00D87A00" w14:paraId="70EC11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FB5D67F"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rPr>
              <w:t>Asset Turnover Ratio</w:t>
            </w:r>
          </w:p>
        </w:tc>
        <w:tc>
          <w:tcPr>
            <w:tcW w:w="1966"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DF2970F"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 Net Sales / Average Total Assets </w:t>
            </w:r>
          </w:p>
        </w:tc>
        <w:tc>
          <w:tcPr>
            <w:tcW w:w="25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E99FAE2"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184,078</m:t>
                    </m:r>
                  </m:num>
                  <m:den>
                    <m:d>
                      <m:dPr>
                        <m:ctrlPr>
                          <w:rPr>
                            <w:rFonts w:ascii="Cambria Math" w:hAnsi="Cambria Math" w:cs="Times New Roman"/>
                            <w:i/>
                          </w:rPr>
                        </m:ctrlPr>
                      </m:dPr>
                      <m:e>
                        <m:r>
                          <w:rPr>
                            <w:rFonts w:ascii="Cambria Math" w:hAnsi="Cambria Math" w:cs="Times New Roman"/>
                          </w:rPr>
                          <m:t>91,455+77,066</m:t>
                        </m:r>
                      </m:e>
                    </m:d>
                    <m:r>
                      <w:rPr>
                        <w:rFonts w:ascii="Cambria Math" w:hAnsi="Cambria Math" w:cs="Times New Roman"/>
                      </w:rPr>
                      <m:t>÷2</m:t>
                    </m:r>
                  </m:den>
                </m:f>
              </m:oMath>
            </m:oMathPara>
          </w:p>
          <w:p w14:paraId="143A812D"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=2.18</m:t>
                </m:r>
              </m:oMath>
            </m:oMathPara>
          </w:p>
        </w:tc>
        <w:tc>
          <w:tcPr>
            <w:tcW w:w="2681"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37A635B"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214,956</m:t>
                    </m:r>
                  </m:num>
                  <m:den>
                    <m:d>
                      <m:dPr>
                        <m:ctrlPr>
                          <w:rPr>
                            <w:rFonts w:ascii="Cambria Math" w:hAnsi="Cambria Math" w:cs="Times New Roman"/>
                            <w:i/>
                          </w:rPr>
                        </m:ctrlPr>
                      </m:dPr>
                      <m:e>
                        <m:r>
                          <w:rPr>
                            <w:rFonts w:ascii="Cambria Math" w:hAnsi="Cambria Math" w:cs="Times New Roman"/>
                          </w:rPr>
                          <m:t>102,356+91,455</m:t>
                        </m:r>
                      </m:e>
                    </m:d>
                    <m:r>
                      <w:rPr>
                        <w:rFonts w:ascii="Cambria Math" w:hAnsi="Cambria Math" w:cs="Times New Roman"/>
                      </w:rPr>
                      <m:t>÷2</m:t>
                    </m:r>
                  </m:den>
                </m:f>
              </m:oMath>
            </m:oMathPara>
          </w:p>
          <w:p w14:paraId="294262E4"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=2.22</m:t>
                </m:r>
              </m:oMath>
            </m:oMathPara>
          </w:p>
        </w:tc>
        <w:tc>
          <w:tcPr>
            <w:tcW w:w="281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2D88D95"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240,718</m:t>
                    </m:r>
                  </m:num>
                  <m:den>
                    <m:d>
                      <m:dPr>
                        <m:ctrlPr>
                          <w:rPr>
                            <w:rFonts w:ascii="Cambria Math" w:hAnsi="Cambria Math" w:cs="Times New Roman"/>
                            <w:i/>
                          </w:rPr>
                        </m:ctrlPr>
                      </m:dPr>
                      <m:e>
                        <m:r>
                          <w:rPr>
                            <w:rFonts w:ascii="Cambria Math" w:hAnsi="Cambria Math" w:cs="Times New Roman"/>
                          </w:rPr>
                          <m:t>112,328+102,450</m:t>
                        </m:r>
                      </m:e>
                    </m:d>
                    <m:r>
                      <w:rPr>
                        <w:rFonts w:ascii="Cambria Math" w:hAnsi="Cambria Math" w:cs="Times New Roman"/>
                      </w:rPr>
                      <m:t>÷2</m:t>
                    </m:r>
                  </m:den>
                </m:f>
              </m:oMath>
            </m:oMathPara>
          </w:p>
          <w:p w14:paraId="78BC7547"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=2.24</m:t>
                </m:r>
              </m:oMath>
            </m:oMathPara>
          </w:p>
        </w:tc>
      </w:tr>
      <w:tr w:rsidR="00D87A00" w:rsidRPr="00D87A00" w14:paraId="0942C1A1" w14:textId="77777777">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B5D3E87"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rPr>
              <w:lastRenderedPageBreak/>
              <w:t>Inventory Turnover Ratio</w:t>
            </w:r>
          </w:p>
        </w:tc>
        <w:tc>
          <w:tcPr>
            <w:tcW w:w="1966"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33488E6"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Cost of Goods Sold / Average Inventory </w:t>
            </w:r>
          </w:p>
        </w:tc>
        <w:tc>
          <w:tcPr>
            <w:tcW w:w="25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174C0D1"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139,017</m:t>
                    </m:r>
                  </m:num>
                  <m:den>
                    <m:d>
                      <m:dPr>
                        <m:ctrlPr>
                          <w:rPr>
                            <w:rFonts w:ascii="Cambria Math" w:hAnsi="Cambria Math" w:cs="Times New Roman"/>
                            <w:i/>
                          </w:rPr>
                        </m:ctrlPr>
                      </m:dPr>
                      <m:e>
                        <m:r>
                          <w:rPr>
                            <w:rFonts w:ascii="Cambria Math" w:hAnsi="Cambria Math" w:cs="Times New Roman"/>
                          </w:rPr>
                          <m:t>21,879+18,396</m:t>
                        </m:r>
                      </m:e>
                    </m:d>
                    <m:r>
                      <w:rPr>
                        <w:rFonts w:ascii="Cambria Math" w:hAnsi="Cambria Math" w:cs="Times New Roman"/>
                      </w:rPr>
                      <m:t>÷2</m:t>
                    </m:r>
                  </m:den>
                </m:f>
              </m:oMath>
            </m:oMathPara>
          </w:p>
          <w:p w14:paraId="7715BC8F"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=6.90</m:t>
                </m:r>
              </m:oMath>
            </m:oMathPara>
          </w:p>
        </w:tc>
        <w:tc>
          <w:tcPr>
            <w:tcW w:w="2681"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7EFA15B"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163,250</m:t>
                    </m:r>
                  </m:num>
                  <m:den>
                    <m:d>
                      <m:dPr>
                        <m:ctrlPr>
                          <w:rPr>
                            <w:rFonts w:ascii="Cambria Math" w:hAnsi="Cambria Math" w:cs="Times New Roman"/>
                            <w:i/>
                          </w:rPr>
                        </m:ctrlPr>
                      </m:dPr>
                      <m:e>
                        <m:r>
                          <w:rPr>
                            <w:rFonts w:ascii="Cambria Math" w:hAnsi="Cambria Math" w:cs="Times New Roman"/>
                          </w:rPr>
                          <m:t>25,090+21,879</m:t>
                        </m:r>
                      </m:e>
                    </m:d>
                    <m:r>
                      <w:rPr>
                        <w:rFonts w:ascii="Cambria Math" w:hAnsi="Cambria Math" w:cs="Times New Roman"/>
                      </w:rPr>
                      <m:t>÷2</m:t>
                    </m:r>
                  </m:den>
                </m:f>
              </m:oMath>
            </m:oMathPara>
          </w:p>
          <w:p w14:paraId="5F0DD22F"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=6.95</m:t>
                </m:r>
              </m:oMath>
            </m:oMathPara>
          </w:p>
        </w:tc>
        <w:tc>
          <w:tcPr>
            <w:tcW w:w="281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04542C5"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182,968</m:t>
                    </m:r>
                  </m:num>
                  <m:den>
                    <m:d>
                      <m:dPr>
                        <m:ctrlPr>
                          <w:rPr>
                            <w:rFonts w:ascii="Cambria Math" w:hAnsi="Cambria Math" w:cs="Times New Roman"/>
                            <w:i/>
                          </w:rPr>
                        </m:ctrlPr>
                      </m:dPr>
                      <m:e>
                        <m:r>
                          <w:rPr>
                            <w:rFonts w:ascii="Cambria Math" w:hAnsi="Cambria Math" w:cs="Times New Roman"/>
                          </w:rPr>
                          <m:t>28,366+25,090</m:t>
                        </m:r>
                      </m:e>
                    </m:d>
                    <m:r>
                      <w:rPr>
                        <w:rFonts w:ascii="Cambria Math" w:hAnsi="Cambria Math" w:cs="Times New Roman"/>
                      </w:rPr>
                      <m:t>÷2</m:t>
                    </m:r>
                  </m:den>
                </m:f>
              </m:oMath>
            </m:oMathPara>
          </w:p>
          <w:p w14:paraId="6C1F5668"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=6.85</m:t>
                </m:r>
              </m:oMath>
            </m:oMathPara>
          </w:p>
        </w:tc>
      </w:tr>
      <w:tr w:rsidR="00D87A00" w:rsidRPr="00D87A00" w14:paraId="44D7AC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10AFC0D"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rPr>
              <w:t>Accounts Receivable Turnover Ratio</w:t>
            </w:r>
          </w:p>
        </w:tc>
        <w:tc>
          <w:tcPr>
            <w:tcW w:w="1966"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D747242"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Net Credit Sales / Average Accounts Receivable </w:t>
            </w:r>
          </w:p>
        </w:tc>
        <w:tc>
          <w:tcPr>
            <w:tcW w:w="25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750519F"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184,078</m:t>
                    </m:r>
                  </m:num>
                  <m:den>
                    <m:d>
                      <m:dPr>
                        <m:ctrlPr>
                          <w:rPr>
                            <w:rFonts w:ascii="Cambria Math" w:hAnsi="Cambria Math" w:cs="Times New Roman"/>
                            <w:i/>
                          </w:rPr>
                        </m:ctrlPr>
                      </m:dPr>
                      <m:e>
                        <m:r>
                          <w:rPr>
                            <w:rFonts w:ascii="Cambria Math" w:hAnsi="Cambria Math" w:cs="Times New Roman"/>
                          </w:rPr>
                          <m:t>4,988+3921</m:t>
                        </m:r>
                      </m:e>
                    </m:d>
                    <m:r>
                      <w:rPr>
                        <w:rFonts w:ascii="Cambria Math" w:hAnsi="Cambria Math" w:cs="Times New Roman"/>
                      </w:rPr>
                      <m:t>÷2</m:t>
                    </m:r>
                  </m:den>
                </m:f>
              </m:oMath>
            </m:oMathPara>
          </w:p>
          <w:p w14:paraId="5F584682"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=41.32</m:t>
                </m:r>
              </m:oMath>
            </m:oMathPara>
          </w:p>
        </w:tc>
        <w:tc>
          <w:tcPr>
            <w:tcW w:w="2681"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895CBE8"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214,956</m:t>
                    </m:r>
                  </m:num>
                  <m:den>
                    <m:d>
                      <m:dPr>
                        <m:ctrlPr>
                          <w:rPr>
                            <w:rFonts w:ascii="Cambria Math" w:hAnsi="Cambria Math" w:cs="Times New Roman"/>
                            <w:i/>
                          </w:rPr>
                        </m:ctrlPr>
                      </m:dPr>
                      <m:e>
                        <m:r>
                          <w:rPr>
                            <w:rFonts w:ascii="Cambria Math" w:hAnsi="Cambria Math" w:cs="Times New Roman"/>
                          </w:rPr>
                          <m:t>5,697+4,988</m:t>
                        </m:r>
                      </m:e>
                    </m:d>
                    <m:r>
                      <w:rPr>
                        <w:rFonts w:ascii="Cambria Math" w:hAnsi="Cambria Math" w:cs="Times New Roman"/>
                      </w:rPr>
                      <m:t>÷2</m:t>
                    </m:r>
                  </m:den>
                </m:f>
              </m:oMath>
            </m:oMathPara>
          </w:p>
          <w:p w14:paraId="05BC6597"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=40.24</m:t>
                </m:r>
              </m:oMath>
            </m:oMathPara>
          </w:p>
        </w:tc>
        <w:tc>
          <w:tcPr>
            <w:tcW w:w="281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7921152"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240,718</m:t>
                    </m:r>
                  </m:num>
                  <m:den>
                    <m:d>
                      <m:dPr>
                        <m:ctrlPr>
                          <w:rPr>
                            <w:rFonts w:ascii="Cambria Math" w:hAnsi="Cambria Math" w:cs="Times New Roman"/>
                            <w:i/>
                            <w:lang w:val="en-US"/>
                          </w:rPr>
                        </m:ctrlPr>
                      </m:dPr>
                      <m:e>
                        <m:r>
                          <w:rPr>
                            <w:rFonts w:ascii="Cambria Math" w:hAnsi="Cambria Math" w:cs="Times New Roman"/>
                            <w:lang w:val="en-US"/>
                          </w:rPr>
                          <m:t>6,298+5,697</m:t>
                        </m:r>
                      </m:e>
                    </m:d>
                    <m:r>
                      <w:rPr>
                        <w:rFonts w:ascii="Cambria Math" w:hAnsi="Cambria Math" w:cs="Times New Roman"/>
                        <w:lang w:val="en-US"/>
                      </w:rPr>
                      <m:t>÷2</m:t>
                    </m:r>
                  </m:den>
                </m:f>
              </m:oMath>
            </m:oMathPara>
          </w:p>
          <w:p w14:paraId="29AF4ADC"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lang w:val="en-US"/>
                  </w:rPr>
                  <m:t>=40.14</m:t>
                </m:r>
              </m:oMath>
            </m:oMathPara>
          </w:p>
        </w:tc>
      </w:tr>
      <w:tr w:rsidR="00D87A00" w:rsidRPr="00D87A00" w14:paraId="0B3A6A67" w14:textId="77777777">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0F2DEB5"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rPr>
              <w:t>Accounts Payable Turnover Ratio</w:t>
            </w:r>
          </w:p>
        </w:tc>
        <w:tc>
          <w:tcPr>
            <w:tcW w:w="1966"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0567722"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Cost of Goods Sold / Average Accounts Payable </w:t>
            </w:r>
          </w:p>
        </w:tc>
        <w:tc>
          <w:tcPr>
            <w:tcW w:w="25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02521BA"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139,017</m:t>
                    </m:r>
                  </m:num>
                  <m:den>
                    <m:d>
                      <m:dPr>
                        <m:ctrlPr>
                          <w:rPr>
                            <w:rFonts w:ascii="Cambria Math" w:hAnsi="Cambria Math" w:cs="Times New Roman"/>
                            <w:i/>
                          </w:rPr>
                        </m:ctrlPr>
                      </m:dPr>
                      <m:e>
                        <m:r>
                          <w:rPr>
                            <w:rFonts w:ascii="Cambria Math" w:hAnsi="Cambria Math" w:cs="Times New Roman"/>
                          </w:rPr>
                          <m:t>21,477+19,649</m:t>
                        </m:r>
                      </m:e>
                    </m:d>
                    <m:r>
                      <w:rPr>
                        <w:rFonts w:ascii="Cambria Math" w:hAnsi="Cambria Math" w:cs="Times New Roman"/>
                      </w:rPr>
                      <m:t>÷2</m:t>
                    </m:r>
                  </m:den>
                </m:f>
              </m:oMath>
            </m:oMathPara>
          </w:p>
          <w:p w14:paraId="1B8BB643"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=6.76</m:t>
                </m:r>
              </m:oMath>
            </m:oMathPara>
          </w:p>
        </w:tc>
        <w:tc>
          <w:tcPr>
            <w:tcW w:w="2681"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9DBEC13"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163,250</m:t>
                    </m:r>
                  </m:num>
                  <m:den>
                    <m:d>
                      <m:dPr>
                        <m:ctrlPr>
                          <w:rPr>
                            <w:rFonts w:ascii="Cambria Math" w:hAnsi="Cambria Math" w:cs="Times New Roman"/>
                            <w:i/>
                          </w:rPr>
                        </m:ctrlPr>
                      </m:dPr>
                      <m:e>
                        <m:r>
                          <w:rPr>
                            <w:rFonts w:ascii="Cambria Math" w:hAnsi="Cambria Math" w:cs="Times New Roman"/>
                          </w:rPr>
                          <m:t>25,081+21,477</m:t>
                        </m:r>
                      </m:e>
                    </m:d>
                    <m:r>
                      <w:rPr>
                        <w:rFonts w:ascii="Cambria Math" w:hAnsi="Cambria Math" w:cs="Times New Roman"/>
                      </w:rPr>
                      <m:t>÷2</m:t>
                    </m:r>
                  </m:den>
                </m:f>
              </m:oMath>
            </m:oMathPara>
          </w:p>
          <w:p w14:paraId="64FC7688"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=7.01</m:t>
                </m:r>
              </m:oMath>
            </m:oMathPara>
          </w:p>
        </w:tc>
        <w:tc>
          <w:tcPr>
            <w:tcW w:w="281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45C333F" w14:textId="77777777" w:rsidR="00D87A00" w:rsidRPr="00D87A00" w:rsidRDefault="000000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182,968</m:t>
                    </m:r>
                  </m:num>
                  <m:den>
                    <m:d>
                      <m:dPr>
                        <m:ctrlPr>
                          <w:rPr>
                            <w:rFonts w:ascii="Cambria Math" w:hAnsi="Cambria Math" w:cs="Times New Roman"/>
                            <w:i/>
                          </w:rPr>
                        </m:ctrlPr>
                      </m:dPr>
                      <m:e>
                        <m:r>
                          <w:rPr>
                            <w:rFonts w:ascii="Cambria Math" w:hAnsi="Cambria Math" w:cs="Times New Roman"/>
                          </w:rPr>
                          <m:t>32,458+25,106</m:t>
                        </m:r>
                      </m:e>
                    </m:d>
                    <m:r>
                      <w:rPr>
                        <w:rFonts w:ascii="Cambria Math" w:hAnsi="Cambria Math" w:cs="Times New Roman"/>
                      </w:rPr>
                      <m:t>÷2</m:t>
                    </m:r>
                  </m:den>
                </m:f>
              </m:oMath>
            </m:oMathPara>
          </w:p>
          <w:p w14:paraId="2026CAAF" w14:textId="77777777" w:rsidR="00D87A00" w:rsidRPr="00D87A00" w:rsidRDefault="00D87A00" w:rsidP="00D87A0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=6.36</m:t>
                </m:r>
              </m:oMath>
            </m:oMathPara>
          </w:p>
        </w:tc>
      </w:tr>
      <w:tr w:rsidR="00D87A00" w:rsidRPr="00D87A00" w14:paraId="0F1648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B10A830" w14:textId="77777777" w:rsidR="00D87A00" w:rsidRPr="00D87A00" w:rsidRDefault="00D87A00" w:rsidP="00D87A00">
            <w:pPr>
              <w:spacing w:line="360" w:lineRule="auto"/>
              <w:jc w:val="both"/>
              <w:rPr>
                <w:rFonts w:ascii="Times New Roman" w:hAnsi="Times New Roman" w:cs="Times New Roman"/>
                <w:lang w:val="en-US"/>
              </w:rPr>
            </w:pPr>
            <w:r w:rsidRPr="00D87A00">
              <w:rPr>
                <w:rFonts w:ascii="Times New Roman" w:hAnsi="Times New Roman" w:cs="Times New Roman"/>
              </w:rPr>
              <w:t>Operating Ratio</w:t>
            </w:r>
          </w:p>
        </w:tc>
        <w:tc>
          <w:tcPr>
            <w:tcW w:w="1966"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911312D" w14:textId="77777777" w:rsidR="00D87A00" w:rsidRPr="00D87A00" w:rsidRDefault="00D87A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Total Operating Expenses / Net Sales *100</w:t>
            </w:r>
          </w:p>
        </w:tc>
        <w:tc>
          <w:tcPr>
            <w:tcW w:w="2548"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39848DE"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156,343</m:t>
                    </m:r>
                  </m:num>
                  <m:den>
                    <m:r>
                      <w:rPr>
                        <w:rFonts w:ascii="Cambria Math" w:hAnsi="Cambria Math" w:cs="Times New Roman"/>
                      </w:rPr>
                      <m:t>184,078</m:t>
                    </m:r>
                  </m:den>
                </m:f>
                <m:r>
                  <w:rPr>
                    <w:rFonts w:ascii="Cambria Math" w:hAnsi="Cambria Math" w:cs="Times New Roman"/>
                  </w:rPr>
                  <m:t>×100=84.93</m:t>
                </m:r>
              </m:oMath>
            </m:oMathPara>
          </w:p>
        </w:tc>
        <w:tc>
          <w:tcPr>
            <w:tcW w:w="2681"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43024FE"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184,269</m:t>
                    </m:r>
                  </m:num>
                  <m:den>
                    <m:r>
                      <w:rPr>
                        <w:rFonts w:ascii="Cambria Math" w:hAnsi="Cambria Math" w:cs="Times New Roman"/>
                      </w:rPr>
                      <m:t>214,956</m:t>
                    </m:r>
                  </m:den>
                </m:f>
                <m:r>
                  <w:rPr>
                    <w:rFonts w:ascii="Cambria Math" w:hAnsi="Cambria Math" w:cs="Times New Roman"/>
                  </w:rPr>
                  <m:t>*100=85.72</m:t>
                </m:r>
              </m:oMath>
            </m:oMathPara>
          </w:p>
        </w:tc>
        <w:tc>
          <w:tcPr>
            <w:tcW w:w="281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60814E4" w14:textId="77777777" w:rsidR="00D87A00" w:rsidRPr="00D87A00" w:rsidRDefault="00000000" w:rsidP="00D87A0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206021</m:t>
                    </m:r>
                  </m:num>
                  <m:den>
                    <m:r>
                      <w:rPr>
                        <w:rFonts w:ascii="Cambria Math" w:hAnsi="Cambria Math" w:cs="Times New Roman"/>
                      </w:rPr>
                      <m:t>240,718</m:t>
                    </m:r>
                  </m:den>
                </m:f>
                <m:r>
                  <w:rPr>
                    <w:rFonts w:ascii="Cambria Math" w:hAnsi="Cambria Math" w:cs="Times New Roman"/>
                  </w:rPr>
                  <m:t>×100=85.59</m:t>
                </m:r>
              </m:oMath>
            </m:oMathPara>
          </w:p>
        </w:tc>
      </w:tr>
    </w:tbl>
    <w:p w14:paraId="64F73967" w14:textId="77777777" w:rsidR="00D87A00" w:rsidRPr="00D87A00" w:rsidRDefault="00D87A00" w:rsidP="00D87A00">
      <w:pPr>
        <w:spacing w:line="360" w:lineRule="auto"/>
        <w:jc w:val="both"/>
        <w:rPr>
          <w:rFonts w:ascii="Times New Roman" w:eastAsia="Aptos" w:hAnsi="Times New Roman" w:cs="Times New Roman"/>
          <w:i/>
          <w:iCs/>
        </w:rPr>
      </w:pPr>
      <w:r w:rsidRPr="00D87A00">
        <w:rPr>
          <w:rFonts w:ascii="Times New Roman" w:eastAsia="Aptos" w:hAnsi="Times New Roman" w:cs="Times New Roman"/>
          <w:i/>
          <w:iCs/>
        </w:rPr>
        <w:t>Source: Shoprite report</w:t>
      </w:r>
    </w:p>
    <w:p w14:paraId="7B6217CE"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ShopRite operates efficiently. The asset turnover ratio increases steadily each year, showing higher sales generation from its assets. The consistently high inventory turnover ratio indicates effective stock management. The high accounts receivable turnover implies that most sales are made on a cash basis. The stable operating ratio shows that operating costs are well-controlled relative to revenue.</w:t>
      </w:r>
    </w:p>
    <w:p w14:paraId="7D382F8B" w14:textId="77777777" w:rsidR="00D87A00" w:rsidRPr="00EC6897" w:rsidRDefault="00D87A00" w:rsidP="00EC6897">
      <w:pPr>
        <w:pStyle w:val="Heading7"/>
        <w:rPr>
          <w:rFonts w:asciiTheme="majorBidi" w:eastAsia="Aptos" w:hAnsiTheme="majorBidi"/>
          <w:b/>
          <w:bCs/>
          <w:color w:val="auto"/>
        </w:rPr>
      </w:pPr>
      <w:r w:rsidRPr="00EC6897">
        <w:rPr>
          <w:rFonts w:asciiTheme="majorBidi" w:eastAsia="Aptos" w:hAnsiTheme="majorBidi"/>
          <w:b/>
          <w:bCs/>
          <w:color w:val="auto"/>
        </w:rPr>
        <w:t xml:space="preserve">Market ratios </w:t>
      </w:r>
    </w:p>
    <w:tbl>
      <w:tblPr>
        <w:tblStyle w:val="GridTable5Dark-Accent41"/>
        <w:tblW w:w="0" w:type="auto"/>
        <w:tblInd w:w="0" w:type="dxa"/>
        <w:tblLook w:val="04A0" w:firstRow="1" w:lastRow="0" w:firstColumn="1" w:lastColumn="0" w:noHBand="0" w:noVBand="1"/>
      </w:tblPr>
      <w:tblGrid>
        <w:gridCol w:w="2514"/>
        <w:gridCol w:w="2565"/>
        <w:gridCol w:w="2244"/>
        <w:gridCol w:w="2244"/>
        <w:gridCol w:w="4036"/>
      </w:tblGrid>
      <w:tr w:rsidR="00D87A00" w:rsidRPr="00D87A00" w14:paraId="37A528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bottom w:val="single" w:sz="4" w:space="0" w:color="FFFFFF" w:themeColor="background1"/>
            </w:tcBorders>
          </w:tcPr>
          <w:p w14:paraId="6F84F57C" w14:textId="77777777" w:rsidR="00D87A00" w:rsidRPr="00D87A00" w:rsidRDefault="00D87A00" w:rsidP="00D87A00">
            <w:pPr>
              <w:spacing w:line="360" w:lineRule="auto"/>
              <w:rPr>
                <w:rFonts w:ascii="Times New Roman" w:hAnsi="Times New Roman" w:cs="Times New Roman"/>
              </w:rPr>
            </w:pPr>
          </w:p>
        </w:tc>
        <w:tc>
          <w:tcPr>
            <w:tcW w:w="2565" w:type="dxa"/>
            <w:tcBorders>
              <w:bottom w:val="single" w:sz="4" w:space="0" w:color="FFFFFF" w:themeColor="background1"/>
            </w:tcBorders>
            <w:hideMark/>
          </w:tcPr>
          <w:p w14:paraId="5ACA77FA"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Formula</w:t>
            </w:r>
          </w:p>
        </w:tc>
        <w:tc>
          <w:tcPr>
            <w:tcW w:w="2244" w:type="dxa"/>
            <w:tcBorders>
              <w:bottom w:val="single" w:sz="4" w:space="0" w:color="FFFFFF" w:themeColor="background1"/>
            </w:tcBorders>
            <w:hideMark/>
          </w:tcPr>
          <w:p w14:paraId="24699B3F"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2022</w:t>
            </w:r>
          </w:p>
        </w:tc>
        <w:tc>
          <w:tcPr>
            <w:tcW w:w="2244" w:type="dxa"/>
            <w:tcBorders>
              <w:bottom w:val="single" w:sz="4" w:space="0" w:color="FFFFFF" w:themeColor="background1"/>
            </w:tcBorders>
            <w:hideMark/>
          </w:tcPr>
          <w:p w14:paraId="0275892C"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2023</w:t>
            </w:r>
          </w:p>
        </w:tc>
        <w:tc>
          <w:tcPr>
            <w:tcW w:w="4036" w:type="dxa"/>
            <w:tcBorders>
              <w:bottom w:val="single" w:sz="4" w:space="0" w:color="FFFFFF" w:themeColor="background1"/>
            </w:tcBorders>
            <w:hideMark/>
          </w:tcPr>
          <w:p w14:paraId="721C02D2"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2024</w:t>
            </w:r>
          </w:p>
        </w:tc>
      </w:tr>
      <w:tr w:rsidR="00D87A00" w:rsidRPr="00D87A00" w14:paraId="3E3580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bottom w:val="single" w:sz="4" w:space="0" w:color="FFFFFF" w:themeColor="background1"/>
              <w:right w:val="single" w:sz="4" w:space="0" w:color="FFFFFF" w:themeColor="background1"/>
            </w:tcBorders>
            <w:hideMark/>
          </w:tcPr>
          <w:p w14:paraId="55FF6680"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Price to Earnings</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0C112B"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Price per share/Earnings per share</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3FB8233"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22,560</m:t>
                    </m:r>
                  </m:num>
                  <m:den>
                    <m:r>
                      <w:rPr>
                        <w:rFonts w:ascii="Cambria Math" w:hAnsi="Cambria Math" w:cs="Times New Roman"/>
                      </w:rPr>
                      <m:t>1,046.5</m:t>
                    </m:r>
                  </m:den>
                </m:f>
                <m:r>
                  <w:rPr>
                    <w:rFonts w:ascii="Cambria Math" w:hAnsi="Cambria Math" w:cs="Times New Roman"/>
                  </w:rPr>
                  <m:t>=21.6</m:t>
                </m:r>
              </m:oMath>
            </m:oMathPara>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BEC7BA"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28,403</m:t>
                    </m:r>
                  </m:num>
                  <m:den>
                    <m:r>
                      <w:rPr>
                        <w:rFonts w:ascii="Cambria Math" w:hAnsi="Cambria Math" w:cs="Times New Roman"/>
                      </w:rPr>
                      <m:t>1,084.3</m:t>
                    </m:r>
                  </m:den>
                </m:f>
                <m:r>
                  <w:rPr>
                    <w:rFonts w:ascii="Cambria Math" w:hAnsi="Cambria Math" w:cs="Times New Roman"/>
                  </w:rPr>
                  <m:t>=26.2</m:t>
                </m:r>
              </m:oMath>
            </m:oMathPara>
          </w:p>
        </w:tc>
        <w:tc>
          <w:tcPr>
            <w:tcW w:w="4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C01054F"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27,695</m:t>
                    </m:r>
                  </m:num>
                  <m:den>
                    <m:r>
                      <w:rPr>
                        <w:rFonts w:ascii="Cambria Math" w:hAnsi="Cambria Math" w:cs="Times New Roman"/>
                      </w:rPr>
                      <m:t>1,148.6</m:t>
                    </m:r>
                  </m:den>
                </m:f>
                <m:r>
                  <w:rPr>
                    <w:rFonts w:ascii="Cambria Math" w:hAnsi="Cambria Math" w:cs="Times New Roman"/>
                  </w:rPr>
                  <m:t>=24.1</m:t>
                </m:r>
              </m:oMath>
            </m:oMathPara>
          </w:p>
        </w:tc>
      </w:tr>
      <w:tr w:rsidR="00D87A00" w:rsidRPr="00D87A00" w14:paraId="509E0C18" w14:textId="77777777">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bottom w:val="single" w:sz="4" w:space="0" w:color="FFFFFF" w:themeColor="background1"/>
              <w:right w:val="single" w:sz="4" w:space="0" w:color="FFFFFF" w:themeColor="background1"/>
            </w:tcBorders>
            <w:hideMark/>
          </w:tcPr>
          <w:p w14:paraId="25867F01"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lastRenderedPageBreak/>
              <w:t>Dividend Yield</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3C31C16"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(Dividend Per Share) / (Current Market Price per Share) *100</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F193FD9"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662</m:t>
                    </m:r>
                  </m:num>
                  <m:den>
                    <m:r>
                      <w:rPr>
                        <w:rFonts w:ascii="Cambria Math" w:hAnsi="Cambria Math" w:cs="Times New Roman"/>
                      </w:rPr>
                      <m:t>22,560</m:t>
                    </m:r>
                  </m:den>
                </m:f>
                <m:r>
                  <w:rPr>
                    <w:rFonts w:ascii="Cambria Math" w:hAnsi="Cambria Math" w:cs="Times New Roman"/>
                  </w:rPr>
                  <m:t>=2.93%</m:t>
                </m:r>
              </m:oMath>
            </m:oMathPara>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6B34916"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663</m:t>
                    </m:r>
                  </m:num>
                  <m:den>
                    <m:r>
                      <w:rPr>
                        <w:rFonts w:ascii="Cambria Math" w:hAnsi="Cambria Math" w:cs="Times New Roman"/>
                      </w:rPr>
                      <m:t>28,403</m:t>
                    </m:r>
                  </m:den>
                </m:f>
                <m:r>
                  <w:rPr>
                    <w:rFonts w:ascii="Cambria Math" w:hAnsi="Cambria Math" w:cs="Times New Roman"/>
                  </w:rPr>
                  <m:t>=2.33%</m:t>
                </m:r>
              </m:oMath>
            </m:oMathPara>
          </w:p>
        </w:tc>
        <w:tc>
          <w:tcPr>
            <w:tcW w:w="4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07C85B"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712</m:t>
                    </m:r>
                  </m:num>
                  <m:den>
                    <m:r>
                      <w:rPr>
                        <w:rFonts w:ascii="Cambria Math" w:hAnsi="Cambria Math" w:cs="Times New Roman"/>
                      </w:rPr>
                      <m:t>27,695</m:t>
                    </m:r>
                  </m:den>
                </m:f>
                <m:r>
                  <w:rPr>
                    <w:rFonts w:ascii="Cambria Math" w:hAnsi="Cambria Math" w:cs="Times New Roman"/>
                  </w:rPr>
                  <m:t>=2.57%</m:t>
                </m:r>
              </m:oMath>
            </m:oMathPara>
          </w:p>
        </w:tc>
      </w:tr>
      <w:tr w:rsidR="00D87A00" w:rsidRPr="00D87A00" w14:paraId="58E90F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right w:val="single" w:sz="4" w:space="0" w:color="FFFFFF" w:themeColor="background1"/>
            </w:tcBorders>
            <w:hideMark/>
          </w:tcPr>
          <w:p w14:paraId="5A42E808"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Earnings per share</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3CC69A6"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(Net Profit attributed to ordinary shareholders)/ (weighted Average number of ordinary shares outstanding)</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3FDF0FA"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5711</m:t>
                    </m:r>
                  </m:num>
                  <m:den>
                    <m:r>
                      <w:rPr>
                        <w:rFonts w:ascii="Cambria Math" w:hAnsi="Cambria Math" w:cs="Times New Roman"/>
                      </w:rPr>
                      <m:t>544,876,448</m:t>
                    </m:r>
                  </m:den>
                </m:f>
                <m:r>
                  <w:rPr>
                    <w:rFonts w:ascii="Cambria Math" w:hAnsi="Cambria Math" w:cs="Times New Roman"/>
                  </w:rPr>
                  <m:t>=1,084.3 cent</m:t>
                </m:r>
              </m:oMath>
            </m:oMathPara>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0128156"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5886</m:t>
                    </m:r>
                  </m:num>
                  <m:den>
                    <m:r>
                      <w:rPr>
                        <w:rFonts w:ascii="Cambria Math" w:hAnsi="Cambria Math" w:cs="Times New Roman"/>
                      </w:rPr>
                      <m:t>543,063,152</m:t>
                    </m:r>
                  </m:den>
                </m:f>
                <m:r>
                  <w:rPr>
                    <w:rFonts w:ascii="Cambria Math" w:hAnsi="Cambria Math" w:cs="Times New Roman"/>
                  </w:rPr>
                  <m:t>=1,084.3 cent</m:t>
                </m:r>
              </m:oMath>
            </m:oMathPara>
          </w:p>
        </w:tc>
        <w:tc>
          <w:tcPr>
            <w:tcW w:w="4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0F883E8"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6,248</m:t>
                    </m:r>
                  </m:num>
                  <m:den>
                    <m:r>
                      <w:rPr>
                        <w:rFonts w:ascii="Cambria Math" w:hAnsi="Cambria Math" w:cs="Times New Roman"/>
                      </w:rPr>
                      <m:t>543,849,123</m:t>
                    </m:r>
                  </m:den>
                </m:f>
                <m:r>
                  <w:rPr>
                    <w:rFonts w:ascii="Cambria Math" w:hAnsi="Cambria Math" w:cs="Times New Roman"/>
                  </w:rPr>
                  <m:t>=1,148.6 cent</m:t>
                </m:r>
              </m:oMath>
            </m:oMathPara>
          </w:p>
        </w:tc>
      </w:tr>
    </w:tbl>
    <w:p w14:paraId="000798BB" w14:textId="77777777" w:rsidR="00D87A00" w:rsidRPr="00D87A00" w:rsidRDefault="00D87A00" w:rsidP="00D87A00">
      <w:pPr>
        <w:spacing w:line="360" w:lineRule="auto"/>
        <w:rPr>
          <w:rFonts w:ascii="Times New Roman" w:eastAsia="Aptos" w:hAnsi="Times New Roman" w:cs="Times New Roman"/>
          <w:i/>
          <w:iCs/>
        </w:rPr>
      </w:pPr>
      <w:r w:rsidRPr="00D87A00">
        <w:rPr>
          <w:rFonts w:ascii="Times New Roman" w:eastAsia="Aptos" w:hAnsi="Times New Roman" w:cs="Times New Roman"/>
          <w:i/>
          <w:iCs/>
        </w:rPr>
        <w:t>Source: Shoprite report</w:t>
      </w:r>
    </w:p>
    <w:p w14:paraId="3E7AF575"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 xml:space="preserve">The Shoprite financial year runs from July to June. By the end of the 2024 financial year, the share price was 27,695 cents (R276.95); in 2023, it was 28,403 cents (R284.03) and in 2022, it was 22,560 cents (R225.6) per share (investing.com, 2025). </w:t>
      </w:r>
    </w:p>
    <w:p w14:paraId="0E2753D6"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 xml:space="preserve">Shoprite’s market ratios from 2022 to 2024 indicate steady investor confidence and consistent profitability. The price-to-earnings (P/E) ratio fluctuated moderately between 21.6 and 26.2, showing that investors continue to value the company highly relative to its earnings. The dividend yield remained stable around 2.3% to 2.9%, reflecting reliable dividend payments and a balanced return to shareholders. Meanwhile, earnings per share (EPS) increased steadily from 1,046.5c to 1,148.6c, demonstrating solid profit growth and efficient operations. Overall, Shoprite maintained strong market performance and investor trust over the three years. </w:t>
      </w:r>
    </w:p>
    <w:p w14:paraId="15C8010D" w14:textId="77777777" w:rsidR="00D87A00" w:rsidRPr="00D87A00" w:rsidRDefault="00D87A00" w:rsidP="00D87A00">
      <w:pPr>
        <w:spacing w:line="360" w:lineRule="auto"/>
        <w:rPr>
          <w:rFonts w:ascii="Times New Roman" w:eastAsia="Aptos" w:hAnsi="Times New Roman" w:cs="Times New Roman"/>
          <w:b/>
          <w:bCs/>
        </w:rPr>
      </w:pPr>
      <w:r w:rsidRPr="00D87A00">
        <w:rPr>
          <w:rFonts w:ascii="Times New Roman" w:eastAsia="Aptos" w:hAnsi="Times New Roman" w:cs="Times New Roman"/>
          <w:b/>
          <w:bCs/>
        </w:rPr>
        <w:t>Pick n Pay ratios</w:t>
      </w:r>
    </w:p>
    <w:p w14:paraId="34DD0E10" w14:textId="77777777" w:rsidR="00D87A00" w:rsidRPr="00D87A00" w:rsidRDefault="00D87A00" w:rsidP="00D87A00">
      <w:pPr>
        <w:spacing w:line="360" w:lineRule="auto"/>
        <w:rPr>
          <w:rFonts w:ascii="Times New Roman" w:eastAsia="Aptos" w:hAnsi="Times New Roman" w:cs="Times New Roman"/>
          <w:b/>
          <w:bCs/>
        </w:rPr>
      </w:pPr>
      <w:r w:rsidRPr="00D87A00">
        <w:rPr>
          <w:rFonts w:ascii="Times New Roman" w:eastAsia="Aptos" w:hAnsi="Times New Roman" w:cs="Times New Roman"/>
          <w:b/>
          <w:bCs/>
        </w:rPr>
        <w:t>Profitability</w:t>
      </w:r>
    </w:p>
    <w:tbl>
      <w:tblPr>
        <w:tblStyle w:val="GridTable5Dark-Accent41"/>
        <w:tblW w:w="13740" w:type="dxa"/>
        <w:tblInd w:w="0" w:type="dxa"/>
        <w:tblLayout w:type="fixed"/>
        <w:tblLook w:val="04A0" w:firstRow="1" w:lastRow="0" w:firstColumn="1" w:lastColumn="0" w:noHBand="0" w:noVBand="1"/>
      </w:tblPr>
      <w:tblGrid>
        <w:gridCol w:w="1419"/>
        <w:gridCol w:w="1719"/>
        <w:gridCol w:w="2808"/>
        <w:gridCol w:w="3968"/>
        <w:gridCol w:w="3826"/>
      </w:tblGrid>
      <w:tr w:rsidR="00D87A00" w:rsidRPr="00D87A00" w14:paraId="6C419E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bottom w:val="single" w:sz="4" w:space="0" w:color="FFFFFF" w:themeColor="background1"/>
            </w:tcBorders>
          </w:tcPr>
          <w:p w14:paraId="1F715A73" w14:textId="77777777" w:rsidR="00D87A00" w:rsidRPr="00D87A00" w:rsidRDefault="00D87A00" w:rsidP="00D87A00">
            <w:pPr>
              <w:spacing w:line="360" w:lineRule="auto"/>
              <w:rPr>
                <w:rFonts w:ascii="Times New Roman" w:hAnsi="Times New Roman" w:cs="Times New Roman"/>
              </w:rPr>
            </w:pPr>
          </w:p>
        </w:tc>
        <w:tc>
          <w:tcPr>
            <w:tcW w:w="1720" w:type="dxa"/>
            <w:tcBorders>
              <w:bottom w:val="single" w:sz="4" w:space="0" w:color="FFFFFF" w:themeColor="background1"/>
            </w:tcBorders>
            <w:hideMark/>
          </w:tcPr>
          <w:p w14:paraId="5AA7B110"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Formula</w:t>
            </w:r>
          </w:p>
        </w:tc>
        <w:tc>
          <w:tcPr>
            <w:tcW w:w="2809" w:type="dxa"/>
            <w:tcBorders>
              <w:bottom w:val="single" w:sz="4" w:space="0" w:color="FFFFFF" w:themeColor="background1"/>
            </w:tcBorders>
            <w:hideMark/>
          </w:tcPr>
          <w:p w14:paraId="6E4090FF"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2022</w:t>
            </w:r>
          </w:p>
        </w:tc>
        <w:tc>
          <w:tcPr>
            <w:tcW w:w="3969" w:type="dxa"/>
            <w:tcBorders>
              <w:bottom w:val="single" w:sz="4" w:space="0" w:color="FFFFFF" w:themeColor="background1"/>
            </w:tcBorders>
            <w:hideMark/>
          </w:tcPr>
          <w:p w14:paraId="3E076CD7" w14:textId="77777777" w:rsidR="00D87A00" w:rsidRPr="00D87A00" w:rsidRDefault="00D87A00" w:rsidP="00D87A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2023</w:t>
            </w:r>
          </w:p>
        </w:tc>
        <w:tc>
          <w:tcPr>
            <w:tcW w:w="3827" w:type="dxa"/>
            <w:tcBorders>
              <w:bottom w:val="single" w:sz="4" w:space="0" w:color="FFFFFF" w:themeColor="background1"/>
            </w:tcBorders>
            <w:hideMark/>
          </w:tcPr>
          <w:p w14:paraId="3DE744A7" w14:textId="77777777" w:rsidR="00D87A00" w:rsidRPr="00D87A00" w:rsidRDefault="00D87A00" w:rsidP="00D87A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2024</w:t>
            </w:r>
          </w:p>
        </w:tc>
      </w:tr>
      <w:tr w:rsidR="00D87A00" w:rsidRPr="00D87A00" w14:paraId="571657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FFFFFF" w:themeColor="background1"/>
              <w:bottom w:val="single" w:sz="4" w:space="0" w:color="FFFFFF" w:themeColor="background1"/>
              <w:right w:val="single" w:sz="4" w:space="0" w:color="FFFFFF" w:themeColor="background1"/>
            </w:tcBorders>
            <w:hideMark/>
          </w:tcPr>
          <w:p w14:paraId="2C6F1F71"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lastRenderedPageBreak/>
              <w:t>Gross Profit Margin</w:t>
            </w:r>
          </w:p>
        </w:tc>
        <w:tc>
          <w:tcPr>
            <w:tcW w:w="17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E15F842"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Gross Profit/Revenue</w:t>
            </w:r>
          </w:p>
        </w:tc>
        <w:tc>
          <w:tcPr>
            <w:tcW w:w="28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E1DD62"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Cambria Math" w:hAnsi="Cambria Math" w:cs="Times New Roman"/>
              </w:rPr>
            </w:pPr>
          </w:p>
          <w:p w14:paraId="52F6D789"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Cambria Math" w:hAnsi="Cambria Math" w:cs="Times New Roman"/>
              </w:rPr>
            </w:pPr>
            <m:oMathPara>
              <m:oMath>
                <m:f>
                  <m:fPr>
                    <m:ctrlPr>
                      <w:rPr>
                        <w:rFonts w:ascii="Cambria Math" w:hAnsi="Cambria Math" w:cs="Times New Roman"/>
                        <w:i/>
                      </w:rPr>
                    </m:ctrlPr>
                  </m:fPr>
                  <m:num>
                    <m:r>
                      <w:rPr>
                        <w:rFonts w:ascii="Cambria Math" w:hAnsi="Cambria Math" w:cs="Times New Roman"/>
                      </w:rPr>
                      <m:t>18,394.1</m:t>
                    </m:r>
                  </m:num>
                  <m:den>
                    <m:r>
                      <w:rPr>
                        <w:rFonts w:ascii="Cambria Math" w:hAnsi="Cambria Math" w:cs="Times New Roman"/>
                      </w:rPr>
                      <m:t>97,872.8</m:t>
                    </m:r>
                  </m:den>
                </m:f>
                <m:r>
                  <w:rPr>
                    <w:rFonts w:ascii="Cambria Math" w:hAnsi="Cambria Math" w:cs="Times New Roman"/>
                  </w:rPr>
                  <m:t>=18.79%</m:t>
                </m:r>
              </m:oMath>
            </m:oMathPara>
          </w:p>
        </w:tc>
        <w:tc>
          <w:tcPr>
            <w:tcW w:w="3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2B78200"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20,918.5</m:t>
                    </m:r>
                  </m:num>
                  <m:den>
                    <m:r>
                      <w:rPr>
                        <w:rFonts w:ascii="Cambria Math" w:hAnsi="Cambria Math" w:cs="Times New Roman"/>
                      </w:rPr>
                      <m:t>106,561.8</m:t>
                    </m:r>
                  </m:den>
                </m:f>
                <m:r>
                  <w:rPr>
                    <w:rFonts w:ascii="Cambria Math" w:hAnsi="Cambria Math" w:cs="Times New Roman"/>
                  </w:rPr>
                  <m:t>=19.63%</m:t>
                </m:r>
              </m:oMath>
            </m:oMathPara>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5033509"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20,280</m:t>
                    </m:r>
                  </m:num>
                  <m:den>
                    <m:r>
                      <w:rPr>
                        <w:rFonts w:ascii="Cambria Math" w:hAnsi="Cambria Math" w:cs="Times New Roman"/>
                      </w:rPr>
                      <m:t>115,367</m:t>
                    </m:r>
                  </m:den>
                </m:f>
                <m:r>
                  <w:rPr>
                    <w:rFonts w:ascii="Cambria Math" w:hAnsi="Cambria Math" w:cs="Times New Roman"/>
                  </w:rPr>
                  <m:t>=17.6%</m:t>
                </m:r>
              </m:oMath>
            </m:oMathPara>
          </w:p>
        </w:tc>
      </w:tr>
      <w:tr w:rsidR="00D87A00" w:rsidRPr="00D87A00" w14:paraId="4384F2C8" w14:textId="77777777">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FFFFFF" w:themeColor="background1"/>
              <w:bottom w:val="single" w:sz="4" w:space="0" w:color="FFFFFF" w:themeColor="background1"/>
              <w:right w:val="single" w:sz="4" w:space="0" w:color="FFFFFF" w:themeColor="background1"/>
            </w:tcBorders>
            <w:hideMark/>
          </w:tcPr>
          <w:p w14:paraId="0F271940"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Operating Profit Margin</w:t>
            </w:r>
          </w:p>
        </w:tc>
        <w:tc>
          <w:tcPr>
            <w:tcW w:w="17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00609F"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Operating Income / Revenue</w:t>
            </w:r>
          </w:p>
          <w:p w14:paraId="2B87B2B1"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DEFE9B"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8DA2CAA"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2,886.5</m:t>
                    </m:r>
                  </m:num>
                  <m:den>
                    <m:r>
                      <w:rPr>
                        <w:rFonts w:ascii="Cambria Math" w:hAnsi="Cambria Math" w:cs="Times New Roman"/>
                      </w:rPr>
                      <m:t>97,872.8</m:t>
                    </m:r>
                  </m:den>
                </m:f>
                <m:r>
                  <w:rPr>
                    <w:rFonts w:ascii="Cambria Math" w:hAnsi="Cambria Math" w:cs="Times New Roman"/>
                  </w:rPr>
                  <m:t>=2.95%</m:t>
                </m:r>
              </m:oMath>
            </m:oMathPara>
          </w:p>
        </w:tc>
        <w:tc>
          <w:tcPr>
            <w:tcW w:w="3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F063FA"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5384F26"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3,048.0</m:t>
                    </m:r>
                  </m:num>
                  <m:den>
                    <m:r>
                      <w:rPr>
                        <w:rFonts w:ascii="Cambria Math" w:hAnsi="Cambria Math" w:cs="Times New Roman"/>
                      </w:rPr>
                      <m:t>106,561.8</m:t>
                    </m:r>
                  </m:den>
                </m:f>
                <m:r>
                  <w:rPr>
                    <w:rFonts w:ascii="Cambria Math" w:hAnsi="Cambria Math" w:cs="Times New Roman"/>
                  </w:rPr>
                  <m:t>=2.86%</m:t>
                </m:r>
              </m:oMath>
            </m:oMathPara>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416323" w14:textId="77777777" w:rsidR="00D87A00" w:rsidRPr="00D87A00" w:rsidRDefault="00000000" w:rsidP="00D87A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3,301</m:t>
                    </m:r>
                  </m:num>
                  <m:den>
                    <m:r>
                      <w:rPr>
                        <w:rFonts w:ascii="Cambria Math" w:hAnsi="Cambria Math" w:cs="Times New Roman"/>
                      </w:rPr>
                      <m:t>115,367</m:t>
                    </m:r>
                  </m:den>
                </m:f>
                <m:r>
                  <w:rPr>
                    <w:rFonts w:ascii="Cambria Math" w:hAnsi="Cambria Math" w:cs="Times New Roman"/>
                  </w:rPr>
                  <m:t>=0.4%</m:t>
                </m:r>
              </m:oMath>
            </m:oMathPara>
          </w:p>
        </w:tc>
      </w:tr>
      <w:tr w:rsidR="00D87A00" w:rsidRPr="00D87A00" w14:paraId="38DEAA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FFFFFF" w:themeColor="background1"/>
              <w:bottom w:val="single" w:sz="4" w:space="0" w:color="FFFFFF" w:themeColor="background1"/>
              <w:right w:val="single" w:sz="4" w:space="0" w:color="FFFFFF" w:themeColor="background1"/>
            </w:tcBorders>
            <w:hideMark/>
          </w:tcPr>
          <w:p w14:paraId="5E62BDEB"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Net Profit Margin</w:t>
            </w:r>
          </w:p>
        </w:tc>
        <w:tc>
          <w:tcPr>
            <w:tcW w:w="17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1CC35B"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Net Income / Revenue</w:t>
            </w:r>
          </w:p>
          <w:p w14:paraId="237F2B83"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B515EE"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E174765"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1,214.5</m:t>
                    </m:r>
                  </m:num>
                  <m:den>
                    <m:r>
                      <w:rPr>
                        <w:rFonts w:ascii="Cambria Math" w:hAnsi="Cambria Math" w:cs="Times New Roman"/>
                      </w:rPr>
                      <m:t>97,872.8</m:t>
                    </m:r>
                  </m:den>
                </m:f>
                <m:r>
                  <w:rPr>
                    <w:rFonts w:ascii="Cambria Math" w:hAnsi="Cambria Math" w:cs="Times New Roman"/>
                  </w:rPr>
                  <m:t>=1.24%</m:t>
                </m:r>
              </m:oMath>
            </m:oMathPara>
          </w:p>
        </w:tc>
        <w:tc>
          <w:tcPr>
            <w:tcW w:w="3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E1AB1CC"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1,169.9</m:t>
                    </m:r>
                  </m:num>
                  <m:den>
                    <m:r>
                      <w:rPr>
                        <w:rFonts w:ascii="Cambria Math" w:hAnsi="Cambria Math" w:cs="Times New Roman"/>
                      </w:rPr>
                      <m:t>106,561.8</m:t>
                    </m:r>
                  </m:den>
                </m:f>
                <m:r>
                  <w:rPr>
                    <w:rFonts w:ascii="Cambria Math" w:hAnsi="Cambria Math" w:cs="Times New Roman"/>
                  </w:rPr>
                  <m:t>=</m:t>
                </m:r>
                <m:r>
                  <w:rPr>
                    <w:rFonts w:ascii="Cambria Math" w:eastAsia="Times New Roman" w:hAnsi="Cambria Math" w:cs="Times New Roman"/>
                  </w:rPr>
                  <m:t>1.10%</m:t>
                </m:r>
              </m:oMath>
            </m:oMathPara>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23E395"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3,301</m:t>
                    </m:r>
                  </m:num>
                  <m:den>
                    <m:r>
                      <w:rPr>
                        <w:rFonts w:ascii="Cambria Math" w:hAnsi="Cambria Math" w:cs="Times New Roman"/>
                      </w:rPr>
                      <m:t>115,367</m:t>
                    </m:r>
                  </m:den>
                </m:f>
                <m:r>
                  <w:rPr>
                    <w:rFonts w:ascii="Cambria Math" w:hAnsi="Cambria Math" w:cs="Times New Roman"/>
                  </w:rPr>
                  <m:t>=-2.9%</m:t>
                </m:r>
              </m:oMath>
            </m:oMathPara>
          </w:p>
        </w:tc>
      </w:tr>
      <w:tr w:rsidR="00D87A00" w:rsidRPr="00D87A00" w14:paraId="499D45B5" w14:textId="77777777">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FFFFFF" w:themeColor="background1"/>
              <w:bottom w:val="single" w:sz="4" w:space="0" w:color="FFFFFF" w:themeColor="background1"/>
              <w:right w:val="single" w:sz="4" w:space="0" w:color="FFFFFF" w:themeColor="background1"/>
            </w:tcBorders>
            <w:hideMark/>
          </w:tcPr>
          <w:p w14:paraId="513A8674"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Return on Assets (ROA)</w:t>
            </w:r>
          </w:p>
        </w:tc>
        <w:tc>
          <w:tcPr>
            <w:tcW w:w="17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44F3B8"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Net Income / Average Total Assets</w:t>
            </w:r>
          </w:p>
          <w:p w14:paraId="6946C30A"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B557BC"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9F39FDC"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1,214.5</m:t>
                    </m:r>
                  </m:num>
                  <m:den>
                    <m:r>
                      <w:rPr>
                        <w:rFonts w:ascii="Cambria Math" w:hAnsi="Cambria Math" w:cs="Times New Roman"/>
                      </w:rPr>
                      <m:t>(40,344.5 +39,972.5)÷2</m:t>
                    </m:r>
                  </m:den>
                </m:f>
                <m:r>
                  <w:rPr>
                    <w:rFonts w:ascii="Cambria Math" w:hAnsi="Cambria Math" w:cs="Times New Roman"/>
                  </w:rPr>
                  <m:t>=3.03%</m:t>
                </m:r>
              </m:oMath>
            </m:oMathPara>
          </w:p>
        </w:tc>
        <w:tc>
          <w:tcPr>
            <w:tcW w:w="3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248AF97" w14:textId="77777777" w:rsidR="00D87A00" w:rsidRPr="00D87A00" w:rsidRDefault="00000000" w:rsidP="00D87A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1,169.9</m:t>
                    </m:r>
                  </m:num>
                  <m:den>
                    <m:r>
                      <w:rPr>
                        <w:rFonts w:ascii="Cambria Math" w:hAnsi="Cambria Math" w:cs="Times New Roman"/>
                      </w:rPr>
                      <m:t>(42,385.1+40,344.5)÷2</m:t>
                    </m:r>
                  </m:den>
                </m:f>
                <m:r>
                  <w:rPr>
                    <w:rFonts w:ascii="Cambria Math" w:hAnsi="Cambria Math" w:cs="Times New Roman"/>
                  </w:rPr>
                  <m:t>=2.83%</m:t>
                </m:r>
              </m:oMath>
            </m:oMathPara>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984E04B" w14:textId="77777777" w:rsidR="00D87A00" w:rsidRPr="00D87A00" w:rsidRDefault="00000000" w:rsidP="00D87A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3,301</m:t>
                    </m:r>
                  </m:num>
                  <m:den>
                    <m:d>
                      <m:dPr>
                        <m:ctrlPr>
                          <w:rPr>
                            <w:rFonts w:ascii="Cambria Math" w:hAnsi="Cambria Math" w:cs="Times New Roman"/>
                            <w:i/>
                          </w:rPr>
                        </m:ctrlPr>
                      </m:dPr>
                      <m:e>
                        <m:r>
                          <w:rPr>
                            <w:rFonts w:ascii="Cambria Math" w:hAnsi="Cambria Math" w:cs="Times New Roman"/>
                          </w:rPr>
                          <m:t>44,803.5</m:t>
                        </m:r>
                      </m:e>
                    </m:d>
                  </m:den>
                </m:f>
                <m:r>
                  <w:rPr>
                    <w:rFonts w:ascii="Cambria Math" w:hAnsi="Cambria Math" w:cs="Times New Roman"/>
                  </w:rPr>
                  <m:t>=-7.4%</m:t>
                </m:r>
              </m:oMath>
            </m:oMathPara>
          </w:p>
        </w:tc>
      </w:tr>
      <w:tr w:rsidR="00D87A00" w:rsidRPr="00D87A00" w14:paraId="00A914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top w:val="single" w:sz="4" w:space="0" w:color="FFFFFF" w:themeColor="background1"/>
              <w:right w:val="single" w:sz="4" w:space="0" w:color="FFFFFF" w:themeColor="background1"/>
            </w:tcBorders>
            <w:hideMark/>
          </w:tcPr>
          <w:p w14:paraId="31880DE4"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Return on Equity (ROE)</w:t>
            </w:r>
          </w:p>
        </w:tc>
        <w:tc>
          <w:tcPr>
            <w:tcW w:w="17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89B533"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Net Income / Average Shareholders’ Equity</w:t>
            </w:r>
          </w:p>
          <w:p w14:paraId="7CF94967"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81F97F"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F4D2107"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1,214.5</m:t>
                    </m:r>
                  </m:num>
                  <m:den>
                    <m:r>
                      <w:rPr>
                        <w:rFonts w:ascii="Cambria Math" w:hAnsi="Cambria Math" w:cs="Times New Roman"/>
                      </w:rPr>
                      <m:t>(3,753.7+3,784.2)÷2</m:t>
                    </m:r>
                  </m:den>
                </m:f>
                <m:r>
                  <w:rPr>
                    <w:rFonts w:ascii="Cambria Math" w:hAnsi="Cambria Math" w:cs="Times New Roman"/>
                  </w:rPr>
                  <m:t>=32.20%</m:t>
                </m:r>
              </m:oMath>
            </m:oMathPara>
          </w:p>
        </w:tc>
        <w:tc>
          <w:tcPr>
            <w:tcW w:w="3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F8E39C" w14:textId="77777777" w:rsidR="00D87A00" w:rsidRPr="00D87A00" w:rsidRDefault="00D87A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rPr>
            </w:pPr>
          </w:p>
          <w:p w14:paraId="5340AEE3"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Times New Roman"/>
              </w:rPr>
            </w:pPr>
            <m:oMathPara>
              <m:oMath>
                <m:f>
                  <m:fPr>
                    <m:ctrlPr>
                      <w:rPr>
                        <w:rFonts w:ascii="Cambria Math" w:hAnsi="Cambria Math" w:cs="Times New Roman"/>
                        <w:i/>
                      </w:rPr>
                    </m:ctrlPr>
                  </m:fPr>
                  <m:num>
                    <m:r>
                      <w:rPr>
                        <w:rFonts w:ascii="Cambria Math" w:hAnsi="Cambria Math" w:cs="Times New Roman"/>
                      </w:rPr>
                      <m:t>1,169.9</m:t>
                    </m:r>
                  </m:num>
                  <m:den>
                    <m:r>
                      <w:rPr>
                        <w:rFonts w:ascii="Cambria Math" w:hAnsi="Cambria Math" w:cs="Times New Roman"/>
                      </w:rPr>
                      <m:t>(3,702.8+3,753.7)÷2</m:t>
                    </m:r>
                  </m:den>
                </m:f>
                <m:r>
                  <w:rPr>
                    <w:rFonts w:ascii="Cambria Math" w:hAnsi="Cambria Math" w:cs="Times New Roman"/>
                  </w:rPr>
                  <m:t>=31.38%</m:t>
                </m:r>
              </m:oMath>
            </m:oMathPara>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8224C9"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p w14:paraId="62CA298E" w14:textId="77777777" w:rsidR="00D87A00" w:rsidRPr="00D87A00" w:rsidRDefault="00000000" w:rsidP="00D87A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3,301</m:t>
                    </m:r>
                  </m:num>
                  <m:den>
                    <m:r>
                      <w:rPr>
                        <w:rFonts w:ascii="Cambria Math" w:hAnsi="Cambria Math" w:cs="Times New Roman"/>
                      </w:rPr>
                      <m:t>(1,705)</m:t>
                    </m:r>
                  </m:den>
                </m:f>
                <m:r>
                  <w:rPr>
                    <w:rFonts w:ascii="Cambria Math" w:hAnsi="Cambria Math" w:cs="Times New Roman"/>
                  </w:rPr>
                  <m:t>=-193.6%</m:t>
                </m:r>
              </m:oMath>
            </m:oMathPara>
          </w:p>
        </w:tc>
      </w:tr>
    </w:tbl>
    <w:p w14:paraId="71793D79" w14:textId="77777777" w:rsidR="00D87A00" w:rsidRPr="00D87A00" w:rsidRDefault="00D87A00" w:rsidP="00D87A00">
      <w:pPr>
        <w:spacing w:line="360" w:lineRule="auto"/>
        <w:rPr>
          <w:rFonts w:ascii="Times New Roman" w:eastAsia="Aptos" w:hAnsi="Times New Roman" w:cs="Times New Roman"/>
          <w:i/>
          <w:iCs/>
        </w:rPr>
      </w:pPr>
      <w:r w:rsidRPr="00D87A00">
        <w:rPr>
          <w:rFonts w:ascii="Times New Roman" w:eastAsia="Aptos" w:hAnsi="Times New Roman" w:cs="Times New Roman"/>
          <w:i/>
          <w:iCs/>
        </w:rPr>
        <w:t>Source: Pick n Pay</w:t>
      </w:r>
    </w:p>
    <w:tbl>
      <w:tblPr>
        <w:tblStyle w:val="GridTable4-Accent41"/>
        <w:tblW w:w="0" w:type="auto"/>
        <w:tblInd w:w="0" w:type="dxa"/>
        <w:tblLook w:val="04A0" w:firstRow="1" w:lastRow="0" w:firstColumn="1" w:lastColumn="0" w:noHBand="0" w:noVBand="1"/>
      </w:tblPr>
      <w:tblGrid>
        <w:gridCol w:w="2324"/>
        <w:gridCol w:w="2324"/>
        <w:gridCol w:w="2325"/>
        <w:gridCol w:w="2325"/>
        <w:gridCol w:w="2325"/>
      </w:tblGrid>
      <w:tr w:rsidR="00D87A00" w:rsidRPr="00D87A00" w14:paraId="6E2E10C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hideMark/>
          </w:tcPr>
          <w:p w14:paraId="53382D57"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lang w:val="en-US"/>
              </w:rPr>
              <w:t>Liquidity</w:t>
            </w:r>
          </w:p>
        </w:tc>
        <w:tc>
          <w:tcPr>
            <w:tcW w:w="2324" w:type="dxa"/>
            <w:hideMark/>
          </w:tcPr>
          <w:p w14:paraId="2D3034A7"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Formula</w:t>
            </w:r>
          </w:p>
        </w:tc>
        <w:tc>
          <w:tcPr>
            <w:tcW w:w="2325" w:type="dxa"/>
            <w:hideMark/>
          </w:tcPr>
          <w:p w14:paraId="2D60C08A"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2022</w:t>
            </w:r>
          </w:p>
          <w:p w14:paraId="73C727C0"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lastRenderedPageBreak/>
              <w:t>Rm</w:t>
            </w:r>
          </w:p>
        </w:tc>
        <w:tc>
          <w:tcPr>
            <w:tcW w:w="2325" w:type="dxa"/>
            <w:hideMark/>
          </w:tcPr>
          <w:p w14:paraId="3A4CE4BD"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lastRenderedPageBreak/>
              <w:t>2023</w:t>
            </w:r>
          </w:p>
          <w:p w14:paraId="32F00765"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lastRenderedPageBreak/>
              <w:t>Rm</w:t>
            </w:r>
          </w:p>
        </w:tc>
        <w:tc>
          <w:tcPr>
            <w:tcW w:w="2325" w:type="dxa"/>
            <w:hideMark/>
          </w:tcPr>
          <w:p w14:paraId="3D587446"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lastRenderedPageBreak/>
              <w:t>2024</w:t>
            </w:r>
          </w:p>
          <w:p w14:paraId="05717F52"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lastRenderedPageBreak/>
              <w:t>Rm</w:t>
            </w:r>
          </w:p>
        </w:tc>
      </w:tr>
      <w:tr w:rsidR="00D87A00" w:rsidRPr="00D87A00" w14:paraId="600536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8459D24"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rPr>
              <w:lastRenderedPageBreak/>
              <w:t>Current Ratio</w:t>
            </w:r>
          </w:p>
        </w:tc>
        <w:tc>
          <w:tcPr>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1AA76F9"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Current Assets / Current Liabilities</w:t>
            </w:r>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3A302E7"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19,250.8</m:t>
                    </m:r>
                  </m:num>
                  <m:den>
                    <m:r>
                      <w:rPr>
                        <w:rFonts w:ascii="Cambria Math" w:hAnsi="Cambria Math" w:cs="Times New Roman"/>
                      </w:rPr>
                      <m:t>22,972.3</m:t>
                    </m:r>
                  </m:den>
                </m:f>
                <m:r>
                  <w:rPr>
                    <w:rFonts w:ascii="Cambria Math" w:hAnsi="Cambria Math" w:cs="Times New Roman"/>
                  </w:rPr>
                  <m:t>=0.84</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FB32698"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17,495.6</m:t>
                    </m:r>
                  </m:num>
                  <m:den>
                    <m:r>
                      <w:rPr>
                        <w:rFonts w:ascii="Cambria Math" w:hAnsi="Cambria Math" w:cs="Times New Roman"/>
                        <w:lang w:val="en-US"/>
                      </w:rPr>
                      <m:t>23,529.1</m:t>
                    </m:r>
                  </m:den>
                </m:f>
                <m:r>
                  <w:rPr>
                    <w:rFonts w:ascii="Cambria Math" w:hAnsi="Cambria Math" w:cs="Times New Roman"/>
                    <w:lang w:val="en-US"/>
                  </w:rPr>
                  <m:t>=0.74</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6DC646B"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20,268.8</m:t>
                    </m:r>
                  </m:num>
                  <m:den>
                    <m:r>
                      <w:rPr>
                        <w:rFonts w:ascii="Cambria Math" w:hAnsi="Cambria Math" w:cs="Times New Roman"/>
                      </w:rPr>
                      <m:t>25,730.7</m:t>
                    </m:r>
                  </m:den>
                </m:f>
                <m:r>
                  <w:rPr>
                    <w:rFonts w:ascii="Cambria Math" w:hAnsi="Cambria Math" w:cs="Times New Roman"/>
                  </w:rPr>
                  <m:t>=0.79</m:t>
                </m:r>
              </m:oMath>
            </m:oMathPara>
          </w:p>
        </w:tc>
      </w:tr>
      <w:tr w:rsidR="00D87A00" w:rsidRPr="00D87A00" w14:paraId="4C18FF8E" w14:textId="77777777">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308162D"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rPr>
              <w:t>Quick Ratio</w:t>
            </w:r>
          </w:p>
        </w:tc>
        <w:tc>
          <w:tcPr>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847A21A"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Cash + Marketable Securities + Receivable / current Liabilities</w:t>
            </w:r>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F228C8C"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rPr>
                      <m:t>6,425.3+4,207.6</m:t>
                    </m:r>
                  </m:num>
                  <m:den>
                    <m:r>
                      <w:rPr>
                        <w:rFonts w:ascii="Cambria Math" w:hAnsi="Cambria Math" w:cs="Times New Roman"/>
                        <w:lang w:val="en-US"/>
                      </w:rPr>
                      <m:t>22,972.3</m:t>
                    </m:r>
                  </m:den>
                </m:f>
                <m:r>
                  <w:rPr>
                    <w:rFonts w:ascii="Cambria Math" w:hAnsi="Cambria Math" w:cs="Times New Roman"/>
                    <w:lang w:val="en-US"/>
                  </w:rPr>
                  <m:t>=0.46</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B76AD2D"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1,997.8+4,472.0</m:t>
                    </m:r>
                  </m:num>
                  <m:den>
                    <m:r>
                      <w:rPr>
                        <w:rFonts w:ascii="Cambria Math" w:hAnsi="Cambria Math" w:cs="Times New Roman"/>
                        <w:lang w:val="en-US"/>
                      </w:rPr>
                      <m:t>23,529.1</m:t>
                    </m:r>
                  </m:den>
                </m:f>
                <m:r>
                  <w:rPr>
                    <w:rFonts w:ascii="Cambria Math" w:hAnsi="Cambria Math" w:cs="Times New Roman"/>
                    <w:lang w:val="en-US"/>
                  </w:rPr>
                  <m:t>=0.27</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2DE7AC8"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5,383.2+4,255.3</m:t>
                    </m:r>
                  </m:num>
                  <m:den>
                    <m:r>
                      <w:rPr>
                        <w:rFonts w:ascii="Cambria Math" w:hAnsi="Cambria Math" w:cs="Times New Roman"/>
                      </w:rPr>
                      <m:t>25,730.7</m:t>
                    </m:r>
                  </m:den>
                </m:f>
                <m:r>
                  <w:rPr>
                    <w:rFonts w:ascii="Cambria Math" w:hAnsi="Cambria Math" w:cs="Times New Roman"/>
                  </w:rPr>
                  <m:t>=0.37</m:t>
                </m:r>
              </m:oMath>
            </m:oMathPara>
          </w:p>
        </w:tc>
      </w:tr>
      <w:tr w:rsidR="00D87A00" w:rsidRPr="00D87A00" w14:paraId="193A26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610CD90"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rPr>
              <w:t>Cash Ratio</w:t>
            </w:r>
          </w:p>
        </w:tc>
        <w:tc>
          <w:tcPr>
            <w:tcW w:w="232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DAB0B7D"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Cash + Marketable securities / Current Liabilities</w:t>
            </w:r>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5E4B61E"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6,425.3</m:t>
                    </m:r>
                  </m:num>
                  <m:den>
                    <m:r>
                      <w:rPr>
                        <w:rFonts w:ascii="Cambria Math" w:hAnsi="Cambria Math" w:cs="Times New Roman"/>
                      </w:rPr>
                      <m:t>22,972.3</m:t>
                    </m:r>
                  </m:den>
                </m:f>
                <m:r>
                  <w:rPr>
                    <w:rFonts w:ascii="Cambria Math" w:hAnsi="Cambria Math" w:cs="Times New Roman"/>
                  </w:rPr>
                  <m:t>=0.28</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22B728A"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19,97.8</m:t>
                    </m:r>
                  </m:num>
                  <m:den>
                    <m:r>
                      <w:rPr>
                        <w:rFonts w:ascii="Cambria Math" w:hAnsi="Cambria Math" w:cs="Times New Roman"/>
                        <w:lang w:val="en-US"/>
                      </w:rPr>
                      <m:t>23,529.1</m:t>
                    </m:r>
                  </m:den>
                </m:f>
                <m:r>
                  <w:rPr>
                    <w:rFonts w:ascii="Cambria Math" w:hAnsi="Cambria Math" w:cs="Times New Roman"/>
                    <w:lang w:val="en-US"/>
                  </w:rPr>
                  <m:t>=0.08</m:t>
                </m:r>
              </m:oMath>
            </m:oMathPara>
          </w:p>
        </w:tc>
        <w:tc>
          <w:tcPr>
            <w:tcW w:w="2325"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7D60992"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5,383.2</m:t>
                    </m:r>
                  </m:num>
                  <m:den>
                    <m:r>
                      <w:rPr>
                        <w:rFonts w:ascii="Cambria Math" w:hAnsi="Cambria Math" w:cs="Times New Roman"/>
                      </w:rPr>
                      <m:t>25,730.7</m:t>
                    </m:r>
                  </m:den>
                </m:f>
                <m:r>
                  <w:rPr>
                    <w:rFonts w:ascii="Cambria Math" w:hAnsi="Cambria Math" w:cs="Times New Roman"/>
                  </w:rPr>
                  <m:t>=0.21</m:t>
                </m:r>
              </m:oMath>
            </m:oMathPara>
          </w:p>
        </w:tc>
      </w:tr>
    </w:tbl>
    <w:p w14:paraId="66DFA9EF" w14:textId="77777777" w:rsidR="00D87A00" w:rsidRPr="00D87A00" w:rsidRDefault="00D87A00" w:rsidP="00D87A00">
      <w:pPr>
        <w:spacing w:line="360" w:lineRule="auto"/>
        <w:rPr>
          <w:rFonts w:ascii="Times New Roman" w:eastAsia="Aptos" w:hAnsi="Times New Roman" w:cs="Times New Roman"/>
          <w:i/>
          <w:iCs/>
        </w:rPr>
      </w:pPr>
      <w:r w:rsidRPr="00D87A00">
        <w:rPr>
          <w:rFonts w:ascii="Times New Roman" w:eastAsia="Aptos" w:hAnsi="Times New Roman" w:cs="Times New Roman"/>
          <w:i/>
          <w:iCs/>
        </w:rPr>
        <w:t>Source: Pick n Pay</w:t>
      </w:r>
    </w:p>
    <w:p w14:paraId="35E30B38" w14:textId="27F43A12" w:rsidR="00D87A00" w:rsidRDefault="00D87A00" w:rsidP="00D87A00">
      <w:pPr>
        <w:spacing w:line="360" w:lineRule="auto"/>
        <w:rPr>
          <w:rFonts w:ascii="Times New Roman" w:eastAsia="Aptos" w:hAnsi="Times New Roman" w:cs="Times New Roman"/>
        </w:rPr>
      </w:pPr>
      <w:proofErr w:type="spellStart"/>
      <w:r w:rsidRPr="00D87A00">
        <w:rPr>
          <w:rFonts w:ascii="Times New Roman" w:eastAsia="Aptos" w:hAnsi="Times New Roman" w:cs="Times New Roman"/>
        </w:rPr>
        <w:t>Pick'n</w:t>
      </w:r>
      <w:proofErr w:type="spellEnd"/>
      <w:r w:rsidRPr="00D87A00">
        <w:rPr>
          <w:rFonts w:ascii="Times New Roman" w:eastAsia="Aptos" w:hAnsi="Times New Roman" w:cs="Times New Roman"/>
        </w:rPr>
        <w:t xml:space="preserve"> Pay’s liquidity position is weak. The current ratio remains below 1.0, showing that current liabilities exceed current assets. The quick and cash ratios are also critically low, highlighting a limited capacity to meet short-term commitments. This suggests the company depends on external financing or internal cash generation to cover its immediate obligations.</w:t>
      </w:r>
    </w:p>
    <w:p w14:paraId="2F5F6078" w14:textId="77777777" w:rsidR="00D87A00" w:rsidRPr="00D87A00" w:rsidRDefault="00D87A00" w:rsidP="00D87A00">
      <w:pPr>
        <w:spacing w:line="360" w:lineRule="auto"/>
        <w:rPr>
          <w:rFonts w:ascii="Times New Roman" w:eastAsia="Aptos" w:hAnsi="Times New Roman" w:cs="Times New Roman"/>
        </w:rPr>
      </w:pPr>
    </w:p>
    <w:tbl>
      <w:tblPr>
        <w:tblStyle w:val="GridTable4-Accent41"/>
        <w:tblW w:w="0" w:type="auto"/>
        <w:tblInd w:w="0" w:type="dxa"/>
        <w:tblLook w:val="04A0" w:firstRow="1" w:lastRow="0" w:firstColumn="1" w:lastColumn="0" w:noHBand="0" w:noVBand="1"/>
      </w:tblPr>
      <w:tblGrid>
        <w:gridCol w:w="1653"/>
        <w:gridCol w:w="1667"/>
        <w:gridCol w:w="2912"/>
        <w:gridCol w:w="2912"/>
        <w:gridCol w:w="2912"/>
      </w:tblGrid>
      <w:tr w:rsidR="00D87A00" w:rsidRPr="00D87A00" w14:paraId="1B5A0D4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3" w:type="dxa"/>
            <w:hideMark/>
          </w:tcPr>
          <w:p w14:paraId="6232280D"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lang w:val="en-US"/>
              </w:rPr>
              <w:t>Efficiency Ratio</w:t>
            </w:r>
          </w:p>
        </w:tc>
        <w:tc>
          <w:tcPr>
            <w:tcW w:w="1667" w:type="dxa"/>
            <w:hideMark/>
          </w:tcPr>
          <w:p w14:paraId="39376A37"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Formula</w:t>
            </w:r>
          </w:p>
        </w:tc>
        <w:tc>
          <w:tcPr>
            <w:tcW w:w="2912" w:type="dxa"/>
            <w:hideMark/>
          </w:tcPr>
          <w:p w14:paraId="1DF2A49D"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2022</w:t>
            </w:r>
          </w:p>
          <w:p w14:paraId="00A1CC58"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c>
          <w:tcPr>
            <w:tcW w:w="2912" w:type="dxa"/>
            <w:hideMark/>
          </w:tcPr>
          <w:p w14:paraId="5A28ED03"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2023</w:t>
            </w:r>
          </w:p>
          <w:p w14:paraId="6F1969E6"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c>
          <w:tcPr>
            <w:tcW w:w="2912" w:type="dxa"/>
            <w:hideMark/>
          </w:tcPr>
          <w:p w14:paraId="3D0091BE"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2024</w:t>
            </w:r>
          </w:p>
          <w:p w14:paraId="59E40328"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lang w:val="en-US"/>
              </w:rPr>
              <w:t>Rm</w:t>
            </w:r>
          </w:p>
        </w:tc>
      </w:tr>
      <w:tr w:rsidR="00D87A00" w:rsidRPr="00D87A00" w14:paraId="4D5D9F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3"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8BBCD95"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rPr>
              <w:t>Asset Turnover Ratio</w:t>
            </w:r>
          </w:p>
        </w:tc>
        <w:tc>
          <w:tcPr>
            <w:tcW w:w="166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7CAABD8"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 Net Sales / Average Total Assets </w:t>
            </w:r>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52F215D"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97,872.8</m:t>
                    </m:r>
                  </m:num>
                  <m:den>
                    <m:d>
                      <m:dPr>
                        <m:ctrlPr>
                          <w:rPr>
                            <w:rFonts w:ascii="Cambria Math" w:hAnsi="Cambria Math" w:cs="Times New Roman"/>
                            <w:i/>
                          </w:rPr>
                        </m:ctrlPr>
                      </m:dPr>
                      <m:e>
                        <m:r>
                          <w:rPr>
                            <w:rFonts w:ascii="Cambria Math" w:hAnsi="Cambria Math" w:cs="Times New Roman"/>
                          </w:rPr>
                          <m:t>40,344.5+37,816.5</m:t>
                        </m:r>
                      </m:e>
                    </m:d>
                    <m:r>
                      <w:rPr>
                        <w:rFonts w:ascii="Cambria Math" w:hAnsi="Cambria Math" w:cs="Times New Roman"/>
                      </w:rPr>
                      <m:t>÷2</m:t>
                    </m:r>
                  </m:den>
                </m:f>
              </m:oMath>
            </m:oMathPara>
          </w:p>
          <w:p w14:paraId="7C1FA07B"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=2.50</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45C9B9F"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106,561.8</m:t>
                    </m:r>
                  </m:num>
                  <m:den>
                    <m:d>
                      <m:dPr>
                        <m:ctrlPr>
                          <w:rPr>
                            <w:rFonts w:ascii="Cambria Math" w:hAnsi="Cambria Math" w:cs="Times New Roman"/>
                            <w:i/>
                          </w:rPr>
                        </m:ctrlPr>
                      </m:dPr>
                      <m:e>
                        <m:r>
                          <w:rPr>
                            <w:rFonts w:ascii="Cambria Math" w:hAnsi="Cambria Math" w:cs="Times New Roman"/>
                          </w:rPr>
                          <m:t>42,365.1+40,344.5</m:t>
                        </m:r>
                      </m:e>
                    </m:d>
                    <m:r>
                      <w:rPr>
                        <w:rFonts w:ascii="Cambria Math" w:hAnsi="Cambria Math" w:cs="Times New Roman"/>
                      </w:rPr>
                      <m:t>÷2</m:t>
                    </m:r>
                  </m:den>
                </m:f>
              </m:oMath>
            </m:oMathPara>
          </w:p>
          <w:p w14:paraId="4FCB163A"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=2.58</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D208563"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112,294.8</m:t>
                    </m:r>
                  </m:num>
                  <m:den>
                    <m:d>
                      <m:dPr>
                        <m:ctrlPr>
                          <w:rPr>
                            <w:rFonts w:ascii="Cambria Math" w:hAnsi="Cambria Math" w:cs="Times New Roman"/>
                            <w:i/>
                          </w:rPr>
                        </m:ctrlPr>
                      </m:dPr>
                      <m:e>
                        <m:r>
                          <w:rPr>
                            <w:rFonts w:ascii="Cambria Math" w:hAnsi="Cambria Math" w:cs="Times New Roman"/>
                          </w:rPr>
                          <m:t>46,512.9+42,365.1</m:t>
                        </m:r>
                      </m:e>
                    </m:d>
                    <m:r>
                      <w:rPr>
                        <w:rFonts w:ascii="Cambria Math" w:hAnsi="Cambria Math" w:cs="Times New Roman"/>
                      </w:rPr>
                      <m:t>÷2</m:t>
                    </m:r>
                  </m:den>
                </m:f>
              </m:oMath>
            </m:oMathPara>
          </w:p>
          <w:p w14:paraId="23AA0A66"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=2.52</m:t>
                </m:r>
              </m:oMath>
            </m:oMathPara>
          </w:p>
        </w:tc>
      </w:tr>
      <w:tr w:rsidR="00D87A00" w:rsidRPr="00D87A00" w14:paraId="321DAA1E" w14:textId="77777777">
        <w:tc>
          <w:tcPr>
            <w:cnfStyle w:val="001000000000" w:firstRow="0" w:lastRow="0" w:firstColumn="1" w:lastColumn="0" w:oddVBand="0" w:evenVBand="0" w:oddHBand="0" w:evenHBand="0" w:firstRowFirstColumn="0" w:firstRowLastColumn="0" w:lastRowFirstColumn="0" w:lastRowLastColumn="0"/>
            <w:tcW w:w="1653"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BCE36A0"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rPr>
              <w:lastRenderedPageBreak/>
              <w:t>Inventory Turnover Ratio</w:t>
            </w:r>
          </w:p>
        </w:tc>
        <w:tc>
          <w:tcPr>
            <w:tcW w:w="166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1124994"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Cost of Goods Sold / Average Inventory </w:t>
            </w:r>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459D881C"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79,476.7</m:t>
                    </m:r>
                  </m:num>
                  <m:den>
                    <m:d>
                      <m:dPr>
                        <m:ctrlPr>
                          <w:rPr>
                            <w:rFonts w:ascii="Cambria Math" w:hAnsi="Cambria Math" w:cs="Times New Roman"/>
                            <w:i/>
                          </w:rPr>
                        </m:ctrlPr>
                      </m:dPr>
                      <m:e>
                        <m:r>
                          <w:rPr>
                            <w:rFonts w:ascii="Cambria Math" w:hAnsi="Cambria Math" w:cs="Times New Roman"/>
                          </w:rPr>
                          <m:t>8,277.3+7,193.3</m:t>
                        </m:r>
                      </m:e>
                    </m:d>
                    <m:r>
                      <w:rPr>
                        <w:rFonts w:ascii="Cambria Math" w:hAnsi="Cambria Math" w:cs="Times New Roman"/>
                      </w:rPr>
                      <m:t>÷2</m:t>
                    </m:r>
                  </m:den>
                </m:f>
              </m:oMath>
            </m:oMathPara>
          </w:p>
          <w:p w14:paraId="477B6FBD"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=10.27</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657A9022"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85,625.2</m:t>
                    </m:r>
                  </m:num>
                  <m:den>
                    <m:d>
                      <m:dPr>
                        <m:ctrlPr>
                          <w:rPr>
                            <w:rFonts w:ascii="Cambria Math" w:hAnsi="Cambria Math" w:cs="Times New Roman"/>
                            <w:i/>
                          </w:rPr>
                        </m:ctrlPr>
                      </m:dPr>
                      <m:e>
                        <m:r>
                          <w:rPr>
                            <w:rFonts w:ascii="Cambria Math" w:hAnsi="Cambria Math" w:cs="Times New Roman"/>
                          </w:rPr>
                          <m:t>10,647.0+8,277.3</m:t>
                        </m:r>
                      </m:e>
                    </m:d>
                    <m:r>
                      <w:rPr>
                        <w:rFonts w:ascii="Cambria Math" w:hAnsi="Cambria Math" w:cs="Times New Roman"/>
                      </w:rPr>
                      <m:t>÷2</m:t>
                    </m:r>
                  </m:den>
                </m:f>
              </m:oMath>
            </m:oMathPara>
          </w:p>
          <w:p w14:paraId="29F84677"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=9.05</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4B3FC1A"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182,968</m:t>
                    </m:r>
                  </m:num>
                  <m:den>
                    <m:d>
                      <m:dPr>
                        <m:ctrlPr>
                          <w:rPr>
                            <w:rFonts w:ascii="Cambria Math" w:hAnsi="Cambria Math" w:cs="Times New Roman"/>
                            <w:i/>
                          </w:rPr>
                        </m:ctrlPr>
                      </m:dPr>
                      <m:e>
                        <m:r>
                          <w:rPr>
                            <w:rFonts w:ascii="Cambria Math" w:hAnsi="Cambria Math" w:cs="Times New Roman"/>
                          </w:rPr>
                          <m:t>10,186.6+10,647.0</m:t>
                        </m:r>
                      </m:e>
                    </m:d>
                    <m:r>
                      <w:rPr>
                        <w:rFonts w:ascii="Cambria Math" w:hAnsi="Cambria Math" w:cs="Times New Roman"/>
                      </w:rPr>
                      <m:t>÷2</m:t>
                    </m:r>
                  </m:den>
                </m:f>
              </m:oMath>
            </m:oMathPara>
          </w:p>
          <w:p w14:paraId="77DB461C"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=6.85</m:t>
                </m:r>
              </m:oMath>
            </m:oMathPara>
          </w:p>
        </w:tc>
      </w:tr>
      <w:tr w:rsidR="00D87A00" w:rsidRPr="00D87A00" w14:paraId="6EF431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3"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71403CF"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rPr>
              <w:t>Accounts Receivable Turnover Ratio</w:t>
            </w:r>
          </w:p>
        </w:tc>
        <w:tc>
          <w:tcPr>
            <w:tcW w:w="166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5E2FDE9"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Net Credit Sales / Average Accounts Receivable </w:t>
            </w:r>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tcPr>
          <w:p w14:paraId="403381BA"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97,872.8</m:t>
                    </m:r>
                  </m:num>
                  <m:den>
                    <m:d>
                      <m:dPr>
                        <m:ctrlPr>
                          <w:rPr>
                            <w:rFonts w:ascii="Cambria Math" w:hAnsi="Cambria Math" w:cs="Times New Roman"/>
                            <w:i/>
                          </w:rPr>
                        </m:ctrlPr>
                      </m:dPr>
                      <m:e>
                        <m:r>
                          <w:rPr>
                            <w:rFonts w:ascii="Cambria Math" w:hAnsi="Cambria Math" w:cs="Times New Roman"/>
                          </w:rPr>
                          <m:t>4,207.6+3,743.7</m:t>
                        </m:r>
                      </m:e>
                    </m:d>
                    <m:r>
                      <w:rPr>
                        <w:rFonts w:ascii="Cambria Math" w:hAnsi="Cambria Math" w:cs="Times New Roman"/>
                      </w:rPr>
                      <m:t>÷2</m:t>
                    </m:r>
                  </m:den>
                </m:f>
              </m:oMath>
            </m:oMathPara>
          </w:p>
          <w:p w14:paraId="13048B40"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=24.62</m:t>
                </m:r>
              </m:oMath>
            </m:oMathPara>
          </w:p>
          <w:p w14:paraId="305EBF16"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DD5889B"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106,561.8</m:t>
                    </m:r>
                  </m:num>
                  <m:den>
                    <m:d>
                      <m:dPr>
                        <m:ctrlPr>
                          <w:rPr>
                            <w:rFonts w:ascii="Cambria Math" w:hAnsi="Cambria Math" w:cs="Times New Roman"/>
                            <w:i/>
                          </w:rPr>
                        </m:ctrlPr>
                      </m:dPr>
                      <m:e>
                        <m:r>
                          <w:rPr>
                            <w:rFonts w:ascii="Cambria Math" w:hAnsi="Cambria Math" w:cs="Times New Roman"/>
                          </w:rPr>
                          <m:t>4,472.0+4,207.6</m:t>
                        </m:r>
                      </m:e>
                    </m:d>
                    <m:r>
                      <w:rPr>
                        <w:rFonts w:ascii="Cambria Math" w:hAnsi="Cambria Math" w:cs="Times New Roman"/>
                      </w:rPr>
                      <m:t>÷2</m:t>
                    </m:r>
                  </m:den>
                </m:f>
              </m:oMath>
            </m:oMathPara>
          </w:p>
          <w:p w14:paraId="43E68570"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=24.55</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D99FF70"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112,294.8</m:t>
                    </m:r>
                  </m:num>
                  <m:den>
                    <m:d>
                      <m:dPr>
                        <m:ctrlPr>
                          <w:rPr>
                            <w:rFonts w:ascii="Cambria Math" w:hAnsi="Cambria Math" w:cs="Times New Roman"/>
                            <w:i/>
                            <w:lang w:val="en-US"/>
                          </w:rPr>
                        </m:ctrlPr>
                      </m:dPr>
                      <m:e>
                        <m:r>
                          <w:rPr>
                            <w:rFonts w:ascii="Cambria Math" w:hAnsi="Cambria Math" w:cs="Times New Roman"/>
                            <w:lang w:val="en-US"/>
                          </w:rPr>
                          <m:t>4,255.3+4,472.0</m:t>
                        </m:r>
                      </m:e>
                    </m:d>
                    <m:r>
                      <w:rPr>
                        <w:rFonts w:ascii="Cambria Math" w:hAnsi="Cambria Math" w:cs="Times New Roman"/>
                        <w:lang w:val="en-US"/>
                      </w:rPr>
                      <m:t>÷2</m:t>
                    </m:r>
                  </m:den>
                </m:f>
              </m:oMath>
            </m:oMathPara>
          </w:p>
          <w:p w14:paraId="17E95F28"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lang w:val="en-US"/>
                  </w:rPr>
                  <m:t>=25.73</m:t>
                </m:r>
              </m:oMath>
            </m:oMathPara>
          </w:p>
        </w:tc>
      </w:tr>
      <w:tr w:rsidR="00D87A00" w:rsidRPr="00D87A00" w14:paraId="6A906005" w14:textId="77777777">
        <w:tc>
          <w:tcPr>
            <w:cnfStyle w:val="001000000000" w:firstRow="0" w:lastRow="0" w:firstColumn="1" w:lastColumn="0" w:oddVBand="0" w:evenVBand="0" w:oddHBand="0" w:evenHBand="0" w:firstRowFirstColumn="0" w:firstRowLastColumn="0" w:lastRowFirstColumn="0" w:lastRowLastColumn="0"/>
            <w:tcW w:w="1653"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91E2559"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rPr>
              <w:t>Accounts Payable Turnover Ratio</w:t>
            </w:r>
          </w:p>
        </w:tc>
        <w:tc>
          <w:tcPr>
            <w:tcW w:w="166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048B9E7A"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Cost of Goods Sold / Average Accounts Payable </w:t>
            </w:r>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B4B6B4F"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79,476.7</m:t>
                    </m:r>
                  </m:num>
                  <m:den>
                    <m:d>
                      <m:dPr>
                        <m:ctrlPr>
                          <w:rPr>
                            <w:rFonts w:ascii="Cambria Math" w:hAnsi="Cambria Math" w:cs="Times New Roman"/>
                            <w:i/>
                          </w:rPr>
                        </m:ctrlPr>
                      </m:dPr>
                      <m:e>
                        <m:r>
                          <w:rPr>
                            <w:rFonts w:ascii="Cambria Math" w:hAnsi="Cambria Math" w:cs="Times New Roman"/>
                          </w:rPr>
                          <m:t>13,065.2+12,198.8</m:t>
                        </m:r>
                      </m:e>
                    </m:d>
                    <m:r>
                      <w:rPr>
                        <w:rFonts w:ascii="Cambria Math" w:hAnsi="Cambria Math" w:cs="Times New Roman"/>
                      </w:rPr>
                      <m:t>÷2</m:t>
                    </m:r>
                  </m:den>
                </m:f>
              </m:oMath>
            </m:oMathPara>
          </w:p>
          <w:p w14:paraId="1760B05C"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=6.29</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735A7A3B"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85,625.2</m:t>
                    </m:r>
                  </m:num>
                  <m:den>
                    <m:d>
                      <m:dPr>
                        <m:ctrlPr>
                          <w:rPr>
                            <w:rFonts w:ascii="Cambria Math" w:hAnsi="Cambria Math" w:cs="Times New Roman"/>
                            <w:i/>
                          </w:rPr>
                        </m:ctrlPr>
                      </m:dPr>
                      <m:e>
                        <m:r>
                          <w:rPr>
                            <w:rFonts w:ascii="Cambria Math" w:hAnsi="Cambria Math" w:cs="Times New Roman"/>
                          </w:rPr>
                          <m:t>14,661.0+13,065.2</m:t>
                        </m:r>
                      </m:e>
                    </m:d>
                    <m:r>
                      <w:rPr>
                        <w:rFonts w:ascii="Cambria Math" w:hAnsi="Cambria Math" w:cs="Times New Roman"/>
                      </w:rPr>
                      <m:t>÷2</m:t>
                    </m:r>
                  </m:den>
                </m:f>
              </m:oMath>
            </m:oMathPara>
          </w:p>
          <w:p w14:paraId="71102E34"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rPr>
                  <m:t>=6.18</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14C97C00"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92,014.9</m:t>
                    </m:r>
                  </m:num>
                  <m:den>
                    <m:d>
                      <m:dPr>
                        <m:ctrlPr>
                          <w:rPr>
                            <w:rFonts w:ascii="Cambria Math" w:hAnsi="Cambria Math" w:cs="Times New Roman"/>
                            <w:i/>
                            <w:lang w:val="en-US"/>
                          </w:rPr>
                        </m:ctrlPr>
                      </m:dPr>
                      <m:e>
                        <m:r>
                          <w:rPr>
                            <w:rFonts w:ascii="Cambria Math" w:hAnsi="Cambria Math" w:cs="Times New Roman"/>
                            <w:lang w:val="en-US"/>
                          </w:rPr>
                          <m:t>15,184.1+14,661.0</m:t>
                        </m:r>
                      </m:e>
                    </m:d>
                    <m:r>
                      <w:rPr>
                        <w:rFonts w:ascii="Cambria Math" w:hAnsi="Cambria Math" w:cs="Times New Roman"/>
                        <w:lang w:val="en-US"/>
                      </w:rPr>
                      <m:t>÷2</m:t>
                    </m:r>
                  </m:den>
                </m:f>
              </m:oMath>
            </m:oMathPara>
          </w:p>
          <w:p w14:paraId="10A6D043"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m:oMathPara>
              <m:oMath>
                <m:r>
                  <w:rPr>
                    <w:rFonts w:ascii="Cambria Math" w:hAnsi="Cambria Math" w:cs="Times New Roman"/>
                    <w:lang w:val="en-US"/>
                  </w:rPr>
                  <m:t>=6.17</m:t>
                </m:r>
              </m:oMath>
            </m:oMathPara>
          </w:p>
        </w:tc>
      </w:tr>
      <w:tr w:rsidR="00D87A00" w:rsidRPr="00D87A00" w14:paraId="216BD7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3"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FC09D2C" w14:textId="77777777" w:rsidR="00D87A00" w:rsidRPr="00D87A00" w:rsidRDefault="00D87A00" w:rsidP="00D87A00">
            <w:pPr>
              <w:spacing w:line="360" w:lineRule="auto"/>
              <w:rPr>
                <w:rFonts w:ascii="Times New Roman" w:hAnsi="Times New Roman" w:cs="Times New Roman"/>
                <w:lang w:val="en-US"/>
              </w:rPr>
            </w:pPr>
            <w:r w:rsidRPr="00D87A00">
              <w:rPr>
                <w:rFonts w:ascii="Times New Roman" w:hAnsi="Times New Roman" w:cs="Times New Roman"/>
              </w:rPr>
              <w:t>Operating Ratio</w:t>
            </w:r>
          </w:p>
        </w:tc>
        <w:tc>
          <w:tcPr>
            <w:tcW w:w="1667"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5B5A7667"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87A00">
              <w:rPr>
                <w:rFonts w:ascii="Times New Roman" w:hAnsi="Times New Roman" w:cs="Times New Roman"/>
              </w:rPr>
              <w:t>Total Operating Expenses / Net Sales *100</w:t>
            </w:r>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87D29F5"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18,014.7</m:t>
                    </m:r>
                  </m:num>
                  <m:den>
                    <m:r>
                      <w:rPr>
                        <w:rFonts w:ascii="Cambria Math" w:hAnsi="Cambria Math" w:cs="Times New Roman"/>
                      </w:rPr>
                      <m:t>97,872.8</m:t>
                    </m:r>
                  </m:den>
                </m:f>
                <m:r>
                  <w:rPr>
                    <w:rFonts w:ascii="Cambria Math" w:hAnsi="Cambria Math" w:cs="Times New Roman"/>
                  </w:rPr>
                  <m:t>×100=18.41</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34BF5BFE"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20,153.9</m:t>
                    </m:r>
                  </m:num>
                  <m:den>
                    <m:r>
                      <w:rPr>
                        <w:rFonts w:ascii="Cambria Math" w:hAnsi="Cambria Math" w:cs="Times New Roman"/>
                      </w:rPr>
                      <m:t>106,561.8</m:t>
                    </m:r>
                  </m:den>
                </m:f>
                <m:r>
                  <w:rPr>
                    <w:rFonts w:ascii="Cambria Math" w:hAnsi="Cambria Math" w:cs="Times New Roman"/>
                  </w:rPr>
                  <m:t>*100=18.91</m:t>
                </m:r>
              </m:oMath>
            </m:oMathPara>
          </w:p>
        </w:tc>
        <w:tc>
          <w:tcPr>
            <w:tcW w:w="2912"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hideMark/>
          </w:tcPr>
          <w:p w14:paraId="2C38FDC2"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m:oMathPara>
              <m:oMath>
                <m:f>
                  <m:fPr>
                    <m:ctrlPr>
                      <w:rPr>
                        <w:rFonts w:ascii="Cambria Math" w:hAnsi="Cambria Math" w:cs="Times New Roman"/>
                        <w:i/>
                      </w:rPr>
                    </m:ctrlPr>
                  </m:fPr>
                  <m:num>
                    <m:r>
                      <w:rPr>
                        <w:rFonts w:ascii="Cambria Math" w:hAnsi="Cambria Math" w:cs="Times New Roman"/>
                      </w:rPr>
                      <m:t>22,548.4</m:t>
                    </m:r>
                  </m:num>
                  <m:den>
                    <m:r>
                      <w:rPr>
                        <w:rFonts w:ascii="Cambria Math" w:hAnsi="Cambria Math" w:cs="Times New Roman"/>
                      </w:rPr>
                      <m:t>112,284.8</m:t>
                    </m:r>
                  </m:den>
                </m:f>
                <m:r>
                  <w:rPr>
                    <w:rFonts w:ascii="Cambria Math" w:hAnsi="Cambria Math" w:cs="Times New Roman"/>
                  </w:rPr>
                  <m:t>×100=20.08</m:t>
                </m:r>
              </m:oMath>
            </m:oMathPara>
          </w:p>
        </w:tc>
      </w:tr>
    </w:tbl>
    <w:p w14:paraId="412B32DD" w14:textId="77777777" w:rsidR="00D87A00" w:rsidRPr="00D87A00" w:rsidRDefault="00D87A00" w:rsidP="00D87A00">
      <w:pPr>
        <w:spacing w:line="360" w:lineRule="auto"/>
        <w:rPr>
          <w:rFonts w:ascii="Times New Roman" w:eastAsia="Aptos" w:hAnsi="Times New Roman" w:cs="Times New Roman"/>
          <w:i/>
          <w:iCs/>
          <w:lang w:val="en-US"/>
        </w:rPr>
      </w:pPr>
      <w:r w:rsidRPr="00D87A00">
        <w:rPr>
          <w:rFonts w:ascii="Times New Roman" w:eastAsia="Aptos" w:hAnsi="Times New Roman" w:cs="Times New Roman"/>
          <w:i/>
          <w:iCs/>
          <w:lang w:val="en-US"/>
        </w:rPr>
        <w:t>Source: Pick n Pay</w:t>
      </w:r>
    </w:p>
    <w:p w14:paraId="2C268341" w14:textId="0000C797" w:rsidR="00D87A00" w:rsidRPr="00D87A00" w:rsidRDefault="00D87A00" w:rsidP="00D87A00">
      <w:pPr>
        <w:spacing w:line="360" w:lineRule="auto"/>
        <w:rPr>
          <w:rFonts w:ascii="Times New Roman" w:eastAsia="Aptos" w:hAnsi="Times New Roman" w:cs="Times New Roman"/>
          <w:lang w:val="en-US"/>
        </w:rPr>
      </w:pPr>
      <w:proofErr w:type="spellStart"/>
      <w:r w:rsidRPr="00D87A00">
        <w:rPr>
          <w:rFonts w:ascii="Times New Roman" w:eastAsia="Aptos" w:hAnsi="Times New Roman" w:cs="Times New Roman"/>
        </w:rPr>
        <w:t>Pick'n</w:t>
      </w:r>
      <w:proofErr w:type="spellEnd"/>
      <w:r w:rsidRPr="00D87A00">
        <w:rPr>
          <w:rFonts w:ascii="Times New Roman" w:eastAsia="Aptos" w:hAnsi="Times New Roman" w:cs="Times New Roman"/>
        </w:rPr>
        <w:t xml:space="preserve"> Pay’s efficiency performance is uneven and shows concerning patterns. Although its asset turnover is strong, the inventory turnover ratio has declined sharply, suggesting slower inventory movement, higher holding costs, and weaker cash flow. The accounts receivable and payable turnover ratios remain stable. The rising operating ratio indicates that operating expenses are taking up a larger share of revenue, reducing profitability.</w:t>
      </w:r>
    </w:p>
    <w:p w14:paraId="5C86150D" w14:textId="77777777" w:rsidR="00D87A00" w:rsidRPr="00D87A00" w:rsidRDefault="00D87A00" w:rsidP="00D87A00">
      <w:pPr>
        <w:spacing w:line="360" w:lineRule="auto"/>
        <w:rPr>
          <w:rFonts w:ascii="Times New Roman" w:eastAsia="Aptos" w:hAnsi="Times New Roman" w:cs="Times New Roman"/>
          <w:b/>
          <w:bCs/>
        </w:rPr>
      </w:pPr>
      <w:r w:rsidRPr="00D87A00">
        <w:rPr>
          <w:rFonts w:ascii="Times New Roman" w:eastAsia="Aptos" w:hAnsi="Times New Roman" w:cs="Times New Roman"/>
          <w:b/>
          <w:bCs/>
        </w:rPr>
        <w:lastRenderedPageBreak/>
        <w:t>Leverage (solvency)</w:t>
      </w:r>
    </w:p>
    <w:tbl>
      <w:tblPr>
        <w:tblStyle w:val="GridTable5Dark-Accent41"/>
        <w:tblpPr w:leftFromText="180" w:rightFromText="180" w:vertAnchor="text" w:tblpY="1"/>
        <w:tblW w:w="0" w:type="auto"/>
        <w:tblInd w:w="0" w:type="dxa"/>
        <w:tblLook w:val="04A0" w:firstRow="1" w:lastRow="0" w:firstColumn="1" w:lastColumn="0" w:noHBand="0" w:noVBand="1"/>
      </w:tblPr>
      <w:tblGrid>
        <w:gridCol w:w="2514"/>
        <w:gridCol w:w="2565"/>
        <w:gridCol w:w="2244"/>
        <w:gridCol w:w="2244"/>
        <w:gridCol w:w="4178"/>
      </w:tblGrid>
      <w:tr w:rsidR="00D87A00" w:rsidRPr="00D87A00" w14:paraId="3EBBC7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bottom w:val="single" w:sz="4" w:space="0" w:color="FFFFFF" w:themeColor="background1"/>
            </w:tcBorders>
          </w:tcPr>
          <w:p w14:paraId="1EE275A8" w14:textId="77777777" w:rsidR="00D87A00" w:rsidRPr="00D87A00" w:rsidRDefault="00D87A00" w:rsidP="00D87A00">
            <w:pPr>
              <w:spacing w:line="360" w:lineRule="auto"/>
              <w:rPr>
                <w:rFonts w:ascii="Times New Roman" w:hAnsi="Times New Roman" w:cs="Times New Roman"/>
              </w:rPr>
            </w:pPr>
          </w:p>
        </w:tc>
        <w:tc>
          <w:tcPr>
            <w:tcW w:w="2565" w:type="dxa"/>
            <w:tcBorders>
              <w:bottom w:val="single" w:sz="4" w:space="0" w:color="FFFFFF" w:themeColor="background1"/>
            </w:tcBorders>
            <w:hideMark/>
          </w:tcPr>
          <w:p w14:paraId="70C87104"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Formula</w:t>
            </w:r>
          </w:p>
        </w:tc>
        <w:tc>
          <w:tcPr>
            <w:tcW w:w="2244" w:type="dxa"/>
            <w:tcBorders>
              <w:bottom w:val="single" w:sz="4" w:space="0" w:color="FFFFFF" w:themeColor="background1"/>
            </w:tcBorders>
            <w:hideMark/>
          </w:tcPr>
          <w:p w14:paraId="54A48F21"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2022</w:t>
            </w:r>
          </w:p>
        </w:tc>
        <w:tc>
          <w:tcPr>
            <w:tcW w:w="2244" w:type="dxa"/>
            <w:tcBorders>
              <w:bottom w:val="single" w:sz="4" w:space="0" w:color="FFFFFF" w:themeColor="background1"/>
            </w:tcBorders>
            <w:hideMark/>
          </w:tcPr>
          <w:p w14:paraId="4813B563"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2023</w:t>
            </w:r>
          </w:p>
        </w:tc>
        <w:tc>
          <w:tcPr>
            <w:tcW w:w="4178" w:type="dxa"/>
            <w:tcBorders>
              <w:bottom w:val="single" w:sz="4" w:space="0" w:color="FFFFFF" w:themeColor="background1"/>
            </w:tcBorders>
            <w:hideMark/>
          </w:tcPr>
          <w:p w14:paraId="37226CFC"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2024</w:t>
            </w:r>
          </w:p>
        </w:tc>
      </w:tr>
      <w:tr w:rsidR="00D87A00" w:rsidRPr="00D87A00" w14:paraId="71766D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bottom w:val="single" w:sz="4" w:space="0" w:color="FFFFFF" w:themeColor="background1"/>
              <w:right w:val="single" w:sz="4" w:space="0" w:color="FFFFFF" w:themeColor="background1"/>
            </w:tcBorders>
            <w:hideMark/>
          </w:tcPr>
          <w:p w14:paraId="44D21C31"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 xml:space="preserve">Debt to Equity </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B906548"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Total Liabilities/ Total Equity</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D8A610E"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36,590.8</m:t>
                    </m:r>
                  </m:num>
                  <m:den>
                    <m:r>
                      <w:rPr>
                        <w:rFonts w:ascii="Cambria Math" w:hAnsi="Cambria Math" w:cs="Times New Roman"/>
                      </w:rPr>
                      <m:t>3,753.7</m:t>
                    </m:r>
                  </m:den>
                </m:f>
                <m:r>
                  <w:rPr>
                    <w:rFonts w:ascii="Cambria Math" w:hAnsi="Cambria Math" w:cs="Times New Roman"/>
                  </w:rPr>
                  <m:t>=9.75</m:t>
                </m:r>
              </m:oMath>
            </m:oMathPara>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0BA577D"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38,682.3</m:t>
                    </m:r>
                  </m:num>
                  <m:den>
                    <m:r>
                      <w:rPr>
                        <w:rFonts w:ascii="Cambria Math" w:hAnsi="Cambria Math" w:cs="Times New Roman"/>
                      </w:rPr>
                      <m:t>3,702.8</m:t>
                    </m:r>
                  </m:den>
                </m:f>
                <m:r>
                  <w:rPr>
                    <w:rFonts w:ascii="Cambria Math" w:hAnsi="Cambria Math" w:cs="Times New Roman"/>
                  </w:rPr>
                  <m:t>=10.45</m:t>
                </m:r>
              </m:oMath>
            </m:oMathPara>
          </w:p>
        </w:tc>
        <w:tc>
          <w:tcPr>
            <w:tcW w:w="41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BB248F"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EE0000"/>
              </w:rPr>
            </w:pPr>
            <w:r w:rsidRPr="00D87A00">
              <w:rPr>
                <w:rFonts w:ascii="Times New Roman" w:hAnsi="Times New Roman" w:cs="Times New Roman"/>
              </w:rPr>
              <w:t>N/</w:t>
            </w:r>
            <w:proofErr w:type="gramStart"/>
            <w:r w:rsidRPr="00D87A00">
              <w:rPr>
                <w:rFonts w:ascii="Times New Roman" w:hAnsi="Times New Roman" w:cs="Times New Roman"/>
              </w:rPr>
              <w:t>A(</w:t>
            </w:r>
            <w:proofErr w:type="gramEnd"/>
            <w:r w:rsidRPr="00D87A00">
              <w:rPr>
                <w:rFonts w:ascii="Times New Roman" w:hAnsi="Times New Roman" w:cs="Times New Roman"/>
              </w:rPr>
              <w:t>Negative Equity)</w:t>
            </w:r>
          </w:p>
        </w:tc>
      </w:tr>
      <w:tr w:rsidR="00D87A00" w:rsidRPr="00D87A00" w14:paraId="29425A06" w14:textId="77777777">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bottom w:val="single" w:sz="4" w:space="0" w:color="FFFFFF" w:themeColor="background1"/>
              <w:right w:val="single" w:sz="4" w:space="0" w:color="FFFFFF" w:themeColor="background1"/>
            </w:tcBorders>
            <w:hideMark/>
          </w:tcPr>
          <w:p w14:paraId="6744282E"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Debt to Assets</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CC64D4B"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 xml:space="preserve">Total Liabilities/ Total Assets </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E901542"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36,590.8</m:t>
                    </m:r>
                  </m:num>
                  <m:den>
                    <m:r>
                      <w:rPr>
                        <w:rFonts w:ascii="Cambria Math" w:hAnsi="Cambria Math" w:cs="Times New Roman"/>
                      </w:rPr>
                      <m:t>40,344.5</m:t>
                    </m:r>
                  </m:den>
                </m:f>
                <m:r>
                  <w:rPr>
                    <w:rFonts w:ascii="Cambria Math" w:hAnsi="Cambria Math" w:cs="Times New Roman"/>
                  </w:rPr>
                  <m:t>=0.91</m:t>
                </m:r>
              </m:oMath>
            </m:oMathPara>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88C44BE"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38,682.3</m:t>
                    </m:r>
                  </m:num>
                  <m:den>
                    <m:r>
                      <w:rPr>
                        <w:rFonts w:ascii="Cambria Math" w:hAnsi="Cambria Math" w:cs="Times New Roman"/>
                      </w:rPr>
                      <m:t>42,385.1</m:t>
                    </m:r>
                  </m:den>
                </m:f>
                <m:r>
                  <w:rPr>
                    <w:rFonts w:ascii="Cambria Math" w:hAnsi="Cambria Math" w:cs="Times New Roman"/>
                  </w:rPr>
                  <m:t>=0.91</m:t>
                </m:r>
              </m:oMath>
            </m:oMathPara>
          </w:p>
        </w:tc>
        <w:tc>
          <w:tcPr>
            <w:tcW w:w="41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835F69A"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47,203</m:t>
                    </m:r>
                  </m:num>
                  <m:den>
                    <m:r>
                      <w:rPr>
                        <w:rFonts w:ascii="Cambria Math" w:hAnsi="Cambria Math" w:cs="Times New Roman"/>
                      </w:rPr>
                      <m:t>46,910</m:t>
                    </m:r>
                  </m:den>
                </m:f>
                <m:r>
                  <w:rPr>
                    <w:rFonts w:ascii="Cambria Math" w:hAnsi="Cambria Math" w:cs="Times New Roman"/>
                  </w:rPr>
                  <m:t>=01.01</m:t>
                </m:r>
              </m:oMath>
            </m:oMathPara>
          </w:p>
        </w:tc>
      </w:tr>
      <w:tr w:rsidR="00D87A00" w:rsidRPr="00D87A00" w14:paraId="674616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right w:val="single" w:sz="4" w:space="0" w:color="FFFFFF" w:themeColor="background1"/>
            </w:tcBorders>
            <w:hideMark/>
          </w:tcPr>
          <w:p w14:paraId="7184571E"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Interest Coverage</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D0F09EA"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EBIT / Interest expense</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4FC4520"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2,886.5</m:t>
                    </m:r>
                  </m:num>
                  <m:den>
                    <m:r>
                      <w:rPr>
                        <w:rFonts w:ascii="Cambria Math" w:hAnsi="Cambria Math" w:cs="Times New Roman"/>
                      </w:rPr>
                      <m:t>1,674.9</m:t>
                    </m:r>
                  </m:den>
                </m:f>
                <m:r>
                  <w:rPr>
                    <w:rFonts w:ascii="Cambria Math" w:hAnsi="Cambria Math" w:cs="Times New Roman"/>
                  </w:rPr>
                  <m:t>=1.72</m:t>
                </m:r>
              </m:oMath>
            </m:oMathPara>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CF4C4DA"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3,048.0</m:t>
                    </m:r>
                  </m:num>
                  <m:den>
                    <m:r>
                      <w:rPr>
                        <w:rFonts w:ascii="Cambria Math" w:hAnsi="Cambria Math" w:cs="Times New Roman"/>
                      </w:rPr>
                      <m:t>1,773.9</m:t>
                    </m:r>
                  </m:den>
                </m:f>
                <m:r>
                  <w:rPr>
                    <w:rFonts w:ascii="Cambria Math" w:hAnsi="Cambria Math" w:cs="Times New Roman"/>
                  </w:rPr>
                  <m:t>=1.72</m:t>
                </m:r>
              </m:oMath>
            </m:oMathPara>
          </w:p>
        </w:tc>
        <w:tc>
          <w:tcPr>
            <w:tcW w:w="417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530AC12"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1,822</m:t>
                    </m:r>
                  </m:num>
                  <m:den>
                    <m:r>
                      <w:rPr>
                        <w:rFonts w:ascii="Cambria Math" w:hAnsi="Cambria Math" w:cs="Times New Roman"/>
                      </w:rPr>
                      <m:t>2,467</m:t>
                    </m:r>
                  </m:den>
                </m:f>
                <m:r>
                  <w:rPr>
                    <w:rFonts w:ascii="Cambria Math" w:hAnsi="Cambria Math" w:cs="Times New Roman"/>
                  </w:rPr>
                  <m:t>=-0.74</m:t>
                </m:r>
              </m:oMath>
            </m:oMathPara>
          </w:p>
        </w:tc>
      </w:tr>
    </w:tbl>
    <w:p w14:paraId="06D2EAEF" w14:textId="77777777" w:rsidR="00D87A00" w:rsidRPr="00D87A00" w:rsidRDefault="00D87A00" w:rsidP="00D87A00">
      <w:pPr>
        <w:spacing w:line="360" w:lineRule="auto"/>
        <w:jc w:val="both"/>
        <w:rPr>
          <w:rFonts w:ascii="Times New Roman" w:eastAsia="Aptos" w:hAnsi="Times New Roman" w:cs="Times New Roman"/>
          <w:i/>
          <w:iCs/>
        </w:rPr>
      </w:pPr>
      <w:r w:rsidRPr="00D87A00">
        <w:rPr>
          <w:rFonts w:ascii="Times New Roman" w:eastAsia="Aptos" w:hAnsi="Times New Roman" w:cs="Times New Roman"/>
          <w:i/>
          <w:iCs/>
        </w:rPr>
        <w:t>Source: Pick n Pay</w:t>
      </w:r>
    </w:p>
    <w:tbl>
      <w:tblPr>
        <w:tblStyle w:val="GridTable5Dark-Accent41"/>
        <w:tblW w:w="0" w:type="auto"/>
        <w:tblInd w:w="0" w:type="dxa"/>
        <w:tblLook w:val="04A0" w:firstRow="1" w:lastRow="0" w:firstColumn="1" w:lastColumn="0" w:noHBand="0" w:noVBand="1"/>
      </w:tblPr>
      <w:tblGrid>
        <w:gridCol w:w="2514"/>
        <w:gridCol w:w="2565"/>
        <w:gridCol w:w="2244"/>
        <w:gridCol w:w="2244"/>
        <w:gridCol w:w="4036"/>
      </w:tblGrid>
      <w:tr w:rsidR="00D87A00" w:rsidRPr="00D87A00" w14:paraId="2D3D303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bottom w:val="single" w:sz="4" w:space="0" w:color="FFFFFF" w:themeColor="background1"/>
            </w:tcBorders>
            <w:hideMark/>
          </w:tcPr>
          <w:p w14:paraId="648B8D91"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Market ratios</w:t>
            </w:r>
          </w:p>
        </w:tc>
        <w:tc>
          <w:tcPr>
            <w:tcW w:w="2565" w:type="dxa"/>
            <w:tcBorders>
              <w:bottom w:val="single" w:sz="4" w:space="0" w:color="FFFFFF" w:themeColor="background1"/>
            </w:tcBorders>
            <w:hideMark/>
          </w:tcPr>
          <w:p w14:paraId="58C2DD19"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Formula</w:t>
            </w:r>
          </w:p>
        </w:tc>
        <w:tc>
          <w:tcPr>
            <w:tcW w:w="2244" w:type="dxa"/>
            <w:tcBorders>
              <w:bottom w:val="single" w:sz="4" w:space="0" w:color="FFFFFF" w:themeColor="background1"/>
            </w:tcBorders>
            <w:hideMark/>
          </w:tcPr>
          <w:p w14:paraId="46A8F7BA"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2022</w:t>
            </w:r>
          </w:p>
        </w:tc>
        <w:tc>
          <w:tcPr>
            <w:tcW w:w="2244" w:type="dxa"/>
            <w:tcBorders>
              <w:bottom w:val="single" w:sz="4" w:space="0" w:color="FFFFFF" w:themeColor="background1"/>
            </w:tcBorders>
            <w:hideMark/>
          </w:tcPr>
          <w:p w14:paraId="5B3466C5"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2023</w:t>
            </w:r>
          </w:p>
        </w:tc>
        <w:tc>
          <w:tcPr>
            <w:tcW w:w="4036" w:type="dxa"/>
            <w:tcBorders>
              <w:bottom w:val="single" w:sz="4" w:space="0" w:color="FFFFFF" w:themeColor="background1"/>
            </w:tcBorders>
            <w:hideMark/>
          </w:tcPr>
          <w:p w14:paraId="0457895C" w14:textId="77777777" w:rsidR="00D87A00" w:rsidRPr="00D87A00" w:rsidRDefault="00D87A00" w:rsidP="00D87A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2024</w:t>
            </w:r>
          </w:p>
        </w:tc>
      </w:tr>
      <w:tr w:rsidR="00D87A00" w:rsidRPr="00D87A00" w14:paraId="69B633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bottom w:val="single" w:sz="4" w:space="0" w:color="FFFFFF" w:themeColor="background1"/>
              <w:right w:val="single" w:sz="4" w:space="0" w:color="FFFFFF" w:themeColor="background1"/>
            </w:tcBorders>
            <w:hideMark/>
          </w:tcPr>
          <w:p w14:paraId="1F6F84C0"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Price to Earnings</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4447A44"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Price per share/Earnings per share</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213453E"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7,000</m:t>
                    </m:r>
                  </m:num>
                  <m:den>
                    <m:r>
                      <w:rPr>
                        <w:rFonts w:ascii="Cambria Math" w:hAnsi="Cambria Math" w:cs="Times New Roman"/>
                      </w:rPr>
                      <m:t>253.34</m:t>
                    </m:r>
                  </m:den>
                </m:f>
                <m:r>
                  <w:rPr>
                    <w:rFonts w:ascii="Cambria Math" w:hAnsi="Cambria Math" w:cs="Times New Roman"/>
                  </w:rPr>
                  <m:t>=27.64</m:t>
                </m:r>
              </m:oMath>
            </m:oMathPara>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8541A63"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7,000</m:t>
                    </m:r>
                  </m:num>
                  <m:den>
                    <m:r>
                      <w:rPr>
                        <w:rFonts w:ascii="Cambria Math" w:hAnsi="Cambria Math" w:cs="Times New Roman"/>
                      </w:rPr>
                      <m:t>243.37</m:t>
                    </m:r>
                  </m:den>
                </m:f>
                <m:r>
                  <w:rPr>
                    <w:rFonts w:ascii="Cambria Math" w:hAnsi="Cambria Math" w:cs="Times New Roman"/>
                  </w:rPr>
                  <m:t>=28.76</m:t>
                </m:r>
              </m:oMath>
            </m:oMathPara>
          </w:p>
        </w:tc>
        <w:tc>
          <w:tcPr>
            <w:tcW w:w="4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D853104"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m:oMathPara>
              <m:oMath>
                <m:f>
                  <m:fPr>
                    <m:ctrlPr>
                      <w:rPr>
                        <w:rFonts w:ascii="Cambria Math" w:hAnsi="Cambria Math" w:cs="Times New Roman"/>
                        <w:i/>
                      </w:rPr>
                    </m:ctrlPr>
                  </m:fPr>
                  <m:num>
                    <m:r>
                      <w:rPr>
                        <w:rFonts w:ascii="Cambria Math" w:hAnsi="Cambria Math" w:cs="Times New Roman"/>
                      </w:rPr>
                      <m:t>6,500</m:t>
                    </m:r>
                  </m:num>
                  <m:den>
                    <m:r>
                      <w:rPr>
                        <w:rFonts w:ascii="Cambria Math" w:hAnsi="Cambria Math" w:cs="Times New Roman"/>
                      </w:rPr>
                      <m:t>136.45</m:t>
                    </m:r>
                  </m:den>
                </m:f>
                <m:r>
                  <w:rPr>
                    <w:rFonts w:ascii="Cambria Math" w:hAnsi="Cambria Math" w:cs="Times New Roman"/>
                  </w:rPr>
                  <m:t>=47.64</m:t>
                </m:r>
              </m:oMath>
            </m:oMathPara>
          </w:p>
        </w:tc>
      </w:tr>
      <w:tr w:rsidR="00D87A00" w:rsidRPr="00D87A00" w14:paraId="15B8A4B2" w14:textId="77777777">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bottom w:val="single" w:sz="4" w:space="0" w:color="FFFFFF" w:themeColor="background1"/>
              <w:right w:val="single" w:sz="4" w:space="0" w:color="FFFFFF" w:themeColor="background1"/>
            </w:tcBorders>
            <w:hideMark/>
          </w:tcPr>
          <w:p w14:paraId="0DD9256D"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Dividend Yield</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E7D6DC9" w14:textId="77777777" w:rsidR="00D87A00" w:rsidRPr="00D87A00" w:rsidRDefault="00D87A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(Dividend Per Share) / (Current Market Price per Share) *100</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CE991C9"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221.15</m:t>
                    </m:r>
                  </m:num>
                  <m:den>
                    <m:r>
                      <w:rPr>
                        <w:rFonts w:ascii="Cambria Math" w:hAnsi="Cambria Math" w:cs="Times New Roman"/>
                      </w:rPr>
                      <m:t>7,000</m:t>
                    </m:r>
                  </m:den>
                </m:f>
                <m:r>
                  <w:rPr>
                    <w:rFonts w:ascii="Cambria Math" w:hAnsi="Cambria Math" w:cs="Times New Roman"/>
                  </w:rPr>
                  <m:t>=3.16%</m:t>
                </m:r>
              </m:oMath>
            </m:oMathPara>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78A96B8"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188.15</m:t>
                    </m:r>
                  </m:num>
                  <m:den>
                    <m:r>
                      <w:rPr>
                        <w:rFonts w:ascii="Cambria Math" w:hAnsi="Cambria Math" w:cs="Times New Roman"/>
                      </w:rPr>
                      <m:t>7,000</m:t>
                    </m:r>
                  </m:den>
                </m:f>
                <m:r>
                  <w:rPr>
                    <w:rFonts w:ascii="Cambria Math" w:hAnsi="Cambria Math" w:cs="Times New Roman"/>
                  </w:rPr>
                  <m:t>=2.64%</m:t>
                </m:r>
              </m:oMath>
            </m:oMathPara>
          </w:p>
        </w:tc>
        <w:tc>
          <w:tcPr>
            <w:tcW w:w="4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C514B8" w14:textId="77777777" w:rsidR="00D87A00" w:rsidRPr="00D87A00" w:rsidRDefault="00000000" w:rsidP="00D87A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6,500</m:t>
                    </m:r>
                  </m:den>
                </m:f>
                <m:r>
                  <w:rPr>
                    <w:rFonts w:ascii="Cambria Math" w:hAnsi="Cambria Math" w:cs="Times New Roman"/>
                  </w:rPr>
                  <m:t>=0.0</m:t>
                </m:r>
              </m:oMath>
            </m:oMathPara>
          </w:p>
        </w:tc>
      </w:tr>
      <w:tr w:rsidR="00D87A00" w:rsidRPr="00D87A00" w14:paraId="2C5D60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Borders>
              <w:top w:val="single" w:sz="4" w:space="0" w:color="FFFFFF" w:themeColor="background1"/>
              <w:right w:val="single" w:sz="4" w:space="0" w:color="FFFFFF" w:themeColor="background1"/>
            </w:tcBorders>
            <w:hideMark/>
          </w:tcPr>
          <w:p w14:paraId="67930FF0" w14:textId="77777777" w:rsidR="00D87A00" w:rsidRPr="00D87A00" w:rsidRDefault="00D87A00" w:rsidP="00D87A00">
            <w:pPr>
              <w:spacing w:line="360" w:lineRule="auto"/>
              <w:rPr>
                <w:rFonts w:ascii="Times New Roman" w:hAnsi="Times New Roman" w:cs="Times New Roman"/>
              </w:rPr>
            </w:pPr>
            <w:r w:rsidRPr="00D87A00">
              <w:rPr>
                <w:rFonts w:ascii="Times New Roman" w:hAnsi="Times New Roman" w:cs="Times New Roman"/>
              </w:rPr>
              <w:t>Earnings per share</w:t>
            </w:r>
          </w:p>
        </w:tc>
        <w:tc>
          <w:tcPr>
            <w:tcW w:w="2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FD74AC6" w14:textId="77777777" w:rsidR="00D87A00" w:rsidRPr="00D87A00" w:rsidRDefault="00D87A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7A00">
              <w:rPr>
                <w:rFonts w:ascii="Times New Roman" w:hAnsi="Times New Roman" w:cs="Times New Roman"/>
              </w:rPr>
              <w:t>(Net Profit attributed to ordinary shareholders)/ (weighted Average number of ordinary shares outstanding)</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15C4693"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1,214.5</m:t>
                  </m:r>
                </m:num>
                <m:den>
                  <m:r>
                    <w:rPr>
                      <w:rFonts w:ascii="Cambria Math" w:hAnsi="Cambria Math" w:cs="Times New Roman"/>
                    </w:rPr>
                    <m:t>(479.383)</m:t>
                  </m:r>
                </m:den>
              </m:f>
              <m:r>
                <w:rPr>
                  <w:rFonts w:ascii="Cambria Math" w:hAnsi="Cambria Math" w:cs="Times New Roman"/>
                </w:rPr>
                <m:t>=253.34 cent</m:t>
              </m:r>
            </m:oMath>
            <w:r w:rsidR="00D87A00" w:rsidRPr="00D87A00">
              <w:rPr>
                <w:rFonts w:ascii="Times New Roman" w:eastAsia="Times New Roman" w:hAnsi="Times New Roman" w:cs="Times New Roman"/>
              </w:rPr>
              <w:t>s</w:t>
            </w:r>
          </w:p>
        </w:tc>
        <w:tc>
          <w:tcPr>
            <w:tcW w:w="22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C0C5B87"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1,169.9</m:t>
                  </m:r>
                </m:num>
                <m:den>
                  <m:r>
                    <w:rPr>
                      <w:rFonts w:ascii="Cambria Math" w:hAnsi="Cambria Math" w:cs="Times New Roman"/>
                    </w:rPr>
                    <m:t>(480.702)</m:t>
                  </m:r>
                </m:den>
              </m:f>
              <m:r>
                <w:rPr>
                  <w:rFonts w:ascii="Cambria Math" w:hAnsi="Cambria Math" w:cs="Times New Roman"/>
                </w:rPr>
                <m:t>=243.37 cent</m:t>
              </m:r>
            </m:oMath>
            <w:r w:rsidR="00D87A00" w:rsidRPr="00D87A00">
              <w:rPr>
                <w:rFonts w:ascii="Times New Roman" w:eastAsia="Times New Roman" w:hAnsi="Times New Roman" w:cs="Times New Roman"/>
              </w:rPr>
              <w:t>s</w:t>
            </w:r>
          </w:p>
        </w:tc>
        <w:tc>
          <w:tcPr>
            <w:tcW w:w="4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2039FC" w14:textId="77777777" w:rsidR="00D87A00" w:rsidRPr="00D87A00" w:rsidRDefault="00000000" w:rsidP="00D87A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6,543</m:t>
                  </m:r>
                </m:num>
                <m:den>
                  <m:r>
                    <w:rPr>
                      <w:rFonts w:ascii="Cambria Math" w:hAnsi="Cambria Math" w:cs="Times New Roman"/>
                    </w:rPr>
                    <m:t>479.383</m:t>
                  </m:r>
                </m:den>
              </m:f>
              <m:r>
                <w:rPr>
                  <w:rFonts w:ascii="Cambria Math" w:hAnsi="Cambria Math" w:cs="Times New Roman"/>
                </w:rPr>
                <m:t>=136.45 cent</m:t>
              </m:r>
            </m:oMath>
            <w:r w:rsidR="00D87A00" w:rsidRPr="00D87A00">
              <w:rPr>
                <w:rFonts w:ascii="Times New Roman" w:eastAsia="Times New Roman" w:hAnsi="Times New Roman" w:cs="Times New Roman"/>
              </w:rPr>
              <w:t>s</w:t>
            </w:r>
          </w:p>
        </w:tc>
      </w:tr>
    </w:tbl>
    <w:p w14:paraId="15509911" w14:textId="77777777" w:rsidR="00D87A00" w:rsidRPr="00D87A00" w:rsidRDefault="00D87A00" w:rsidP="00D87A00">
      <w:pPr>
        <w:spacing w:line="360" w:lineRule="auto"/>
        <w:jc w:val="both"/>
        <w:rPr>
          <w:rFonts w:ascii="Times New Roman" w:eastAsia="Aptos" w:hAnsi="Times New Roman" w:cs="Times New Roman"/>
          <w:i/>
          <w:iCs/>
        </w:rPr>
      </w:pPr>
    </w:p>
    <w:p w14:paraId="500CEAD4" w14:textId="77777777" w:rsidR="00D87A00" w:rsidRPr="00D87A00" w:rsidRDefault="00D87A00" w:rsidP="00D87A00">
      <w:pPr>
        <w:spacing w:line="360" w:lineRule="auto"/>
        <w:jc w:val="both"/>
        <w:rPr>
          <w:rFonts w:ascii="Times New Roman" w:eastAsia="Aptos" w:hAnsi="Times New Roman" w:cs="Times New Roman"/>
          <w:i/>
          <w:iCs/>
        </w:rPr>
      </w:pPr>
      <w:r w:rsidRPr="00D87A00">
        <w:rPr>
          <w:rFonts w:ascii="Times New Roman" w:eastAsia="Aptos" w:hAnsi="Times New Roman" w:cs="Times New Roman"/>
          <w:i/>
          <w:iCs/>
        </w:rPr>
        <w:lastRenderedPageBreak/>
        <w:t>Source: Pick n Pay</w:t>
      </w:r>
    </w:p>
    <w:p w14:paraId="1A99B610"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The comparison of Shoprite Holdings Ltd and Pick n Pay Stores Ltd from 2022 to 2024 highlights major differences in profitability and solvency.</w:t>
      </w:r>
    </w:p>
    <w:p w14:paraId="15EA3EA2"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Shoprite demonstrated stability and strength, maintaining healthy profitability (~3% net margin), efficient use of assets (ROA ~6-7%), and exceptional returns for shareholders (ROE ~24%). Its manageable debt and solid interest coverage confirm a low-risk, sustainable model, rewarded by consistent market performance.</w:t>
      </w:r>
    </w:p>
    <w:p w14:paraId="567196E1"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Conversely, </w:t>
      </w:r>
      <w:proofErr w:type="gramStart"/>
      <w:r w:rsidRPr="00D87A00">
        <w:rPr>
          <w:rFonts w:ascii="Times New Roman" w:eastAsia="Aptos" w:hAnsi="Times New Roman" w:cs="Times New Roman"/>
        </w:rPr>
        <w:t>Pick</w:t>
      </w:r>
      <w:proofErr w:type="gramEnd"/>
      <w:r w:rsidRPr="00D87A00">
        <w:rPr>
          <w:rFonts w:ascii="Times New Roman" w:eastAsia="Aptos" w:hAnsi="Times New Roman" w:cs="Times New Roman"/>
        </w:rPr>
        <w:t xml:space="preserve"> n Pay experienced a dramatic decline, with its profitability collapsing into losses (-2.9% net margin) and returns on assets and equity turning deeply negative (-7.4% ROA, -193.6% ROE), signalling massive shareholder value destruction. The company became severely over-leveraged, unable to cover its interest payments from operations, leading to suspended dividends and a precarious financial position that necessitated urgent intervention.</w:t>
      </w:r>
    </w:p>
    <w:p w14:paraId="5EB62142"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 xml:space="preserve">ShopRite has a clear advantage in liquidity. Its current, quick, and cash ratios are stronger than Pick n Pay’s in all three years. ShopRite’s position remained safe and improved in 2024, while </w:t>
      </w:r>
      <w:proofErr w:type="spellStart"/>
      <w:r w:rsidRPr="00D87A00">
        <w:rPr>
          <w:rFonts w:ascii="Times New Roman" w:eastAsia="Aptos" w:hAnsi="Times New Roman" w:cs="Times New Roman"/>
        </w:rPr>
        <w:t>Pick'n</w:t>
      </w:r>
      <w:proofErr w:type="spellEnd"/>
      <w:r w:rsidRPr="00D87A00">
        <w:rPr>
          <w:rFonts w:ascii="Times New Roman" w:eastAsia="Aptos" w:hAnsi="Times New Roman" w:cs="Times New Roman"/>
        </w:rPr>
        <w:t xml:space="preserve"> Pay’s ratios stayed below acceptable levels, indicating a high risk of difficulty meeting short-term obligations.</w:t>
      </w:r>
    </w:p>
    <w:p w14:paraId="0C26D3EC"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 xml:space="preserve">ShopRite also shows stronger operational efficiency. Both companies use their assets effectively to generate sales, but ShopRite maintains consistent inventory management, while </w:t>
      </w:r>
      <w:proofErr w:type="spellStart"/>
      <w:r w:rsidRPr="00D87A00">
        <w:rPr>
          <w:rFonts w:ascii="Times New Roman" w:eastAsia="Aptos" w:hAnsi="Times New Roman" w:cs="Times New Roman"/>
        </w:rPr>
        <w:t>Pick'n</w:t>
      </w:r>
      <w:proofErr w:type="spellEnd"/>
      <w:r w:rsidRPr="00D87A00">
        <w:rPr>
          <w:rFonts w:ascii="Times New Roman" w:eastAsia="Aptos" w:hAnsi="Times New Roman" w:cs="Times New Roman"/>
        </w:rPr>
        <w:t xml:space="preserve"> Pay’s inventory turnover has fallen sharply, revealing an operational weakness. ShopRite’s operating costs are more stable, while </w:t>
      </w:r>
      <w:proofErr w:type="spellStart"/>
      <w:r w:rsidRPr="00D87A00">
        <w:rPr>
          <w:rFonts w:ascii="Times New Roman" w:eastAsia="Aptos" w:hAnsi="Times New Roman" w:cs="Times New Roman"/>
        </w:rPr>
        <w:t>Pick'n</w:t>
      </w:r>
      <w:proofErr w:type="spellEnd"/>
      <w:r w:rsidRPr="00D87A00">
        <w:rPr>
          <w:rFonts w:ascii="Times New Roman" w:eastAsia="Aptos" w:hAnsi="Times New Roman" w:cs="Times New Roman"/>
        </w:rPr>
        <w:t xml:space="preserve"> Pays are rising and reducing profitability.</w:t>
      </w:r>
    </w:p>
    <w:p w14:paraId="489CAA46" w14:textId="77777777" w:rsidR="00D87A00" w:rsidRPr="00D87A00" w:rsidRDefault="00D87A00" w:rsidP="00D87A00">
      <w:pPr>
        <w:spacing w:line="360" w:lineRule="auto"/>
        <w:jc w:val="both"/>
        <w:rPr>
          <w:rFonts w:ascii="Times New Roman" w:eastAsia="Aptos" w:hAnsi="Times New Roman" w:cs="Times New Roman"/>
        </w:rPr>
      </w:pPr>
      <w:r w:rsidRPr="00D87A00">
        <w:rPr>
          <w:rFonts w:ascii="Times New Roman" w:eastAsia="Aptos" w:hAnsi="Times New Roman" w:cs="Times New Roman"/>
        </w:rPr>
        <w:t xml:space="preserve">Therefore, ShopRite is financially stronger and better managed, supported by solid liquidity and efficient operations. </w:t>
      </w:r>
      <w:proofErr w:type="spellStart"/>
      <w:r w:rsidRPr="00D87A00">
        <w:rPr>
          <w:rFonts w:ascii="Times New Roman" w:eastAsia="Aptos" w:hAnsi="Times New Roman" w:cs="Times New Roman"/>
        </w:rPr>
        <w:t>Pick'n</w:t>
      </w:r>
      <w:proofErr w:type="spellEnd"/>
      <w:r w:rsidRPr="00D87A00">
        <w:rPr>
          <w:rFonts w:ascii="Times New Roman" w:eastAsia="Aptos" w:hAnsi="Times New Roman" w:cs="Times New Roman"/>
        </w:rPr>
        <w:t xml:space="preserve"> Pay faces financial pressure, with weak liquidity and deteriorating inventory management that requires immediate corrective action.</w:t>
      </w:r>
    </w:p>
    <w:p w14:paraId="6E24E080" w14:textId="36F9CB17" w:rsidR="00186401" w:rsidRPr="00D87A00" w:rsidRDefault="00D87A00" w:rsidP="00186401">
      <w:pPr>
        <w:spacing w:line="360" w:lineRule="auto"/>
        <w:jc w:val="both"/>
        <w:rPr>
          <w:rFonts w:ascii="Times New Roman" w:eastAsia="Aptos" w:hAnsi="Times New Roman" w:cs="Times New Roman"/>
        </w:rPr>
      </w:pPr>
      <w:r w:rsidRPr="00D87A00">
        <w:rPr>
          <w:rFonts w:ascii="Times New Roman" w:eastAsia="Aptos" w:hAnsi="Times New Roman" w:cs="Times New Roman"/>
        </w:rPr>
        <w:t>In essence, Shoprite is a model of operational excellence and stability, while Pick n Pay is a case study in financial crisis and the need for a fundamental turnaround.</w:t>
      </w:r>
    </w:p>
    <w:p w14:paraId="5AF950C1" w14:textId="77777777" w:rsidR="00D11483" w:rsidRDefault="00D11483" w:rsidP="00C457E4">
      <w:pPr>
        <w:spacing w:line="360" w:lineRule="auto"/>
        <w:jc w:val="both"/>
        <w:rPr>
          <w:rFonts w:ascii="Times New Roman" w:hAnsi="Times New Roman" w:cs="Times New Roman"/>
        </w:rPr>
      </w:pPr>
    </w:p>
    <w:p w14:paraId="2A621A3C" w14:textId="77777777" w:rsidR="00EC6897" w:rsidRDefault="00EC6897" w:rsidP="00C457E4">
      <w:pPr>
        <w:spacing w:line="360" w:lineRule="auto"/>
        <w:jc w:val="both"/>
        <w:rPr>
          <w:rFonts w:ascii="Times New Roman" w:hAnsi="Times New Roman" w:cs="Times New Roman"/>
        </w:rPr>
      </w:pPr>
    </w:p>
    <w:p w14:paraId="462632B4" w14:textId="48698160" w:rsidR="00EC6897" w:rsidRPr="00EC6897" w:rsidRDefault="00EC6897" w:rsidP="00EC6897">
      <w:pPr>
        <w:pStyle w:val="Heading1"/>
        <w:rPr>
          <w:rFonts w:asciiTheme="majorBidi" w:hAnsiTheme="majorBidi"/>
          <w:b/>
          <w:bCs/>
          <w:color w:val="auto"/>
          <w:sz w:val="24"/>
          <w:szCs w:val="24"/>
        </w:rPr>
      </w:pPr>
      <w:bookmarkStart w:id="10" w:name="_Toc211444679"/>
      <w:r w:rsidRPr="00EC6897">
        <w:rPr>
          <w:rFonts w:asciiTheme="majorBidi" w:hAnsiTheme="majorBidi"/>
          <w:b/>
          <w:bCs/>
          <w:color w:val="auto"/>
          <w:sz w:val="24"/>
          <w:szCs w:val="24"/>
        </w:rPr>
        <w:t>4. Equity Valuation Models</w:t>
      </w:r>
      <w:bookmarkEnd w:id="10"/>
    </w:p>
    <w:p w14:paraId="5B5A5894" w14:textId="43B40317" w:rsidR="00D11483" w:rsidRPr="00C457E4" w:rsidRDefault="00D11483" w:rsidP="00C457E4">
      <w:pPr>
        <w:pStyle w:val="ListParagraph"/>
        <w:numPr>
          <w:ilvl w:val="0"/>
          <w:numId w:val="2"/>
        </w:numPr>
        <w:spacing w:line="360" w:lineRule="auto"/>
        <w:jc w:val="both"/>
        <w:rPr>
          <w:rFonts w:ascii="Times New Roman" w:hAnsi="Times New Roman" w:cs="Times New Roman"/>
          <w:b/>
          <w:bCs/>
        </w:rPr>
      </w:pPr>
      <w:r w:rsidRPr="00C457E4">
        <w:rPr>
          <w:rFonts w:ascii="Times New Roman" w:hAnsi="Times New Roman" w:cs="Times New Roman"/>
          <w:b/>
          <w:bCs/>
        </w:rPr>
        <w:t xml:space="preserve">TWO EQUITY EVALUATION MODELS </w:t>
      </w:r>
    </w:p>
    <w:p w14:paraId="6C87F3E7" w14:textId="3784D725" w:rsidR="00662342" w:rsidRPr="00C457E4" w:rsidRDefault="00662342" w:rsidP="00C457E4">
      <w:pPr>
        <w:spacing w:line="360" w:lineRule="auto"/>
        <w:jc w:val="both"/>
        <w:rPr>
          <w:rFonts w:ascii="Times New Roman" w:hAnsi="Times New Roman" w:cs="Times New Roman"/>
        </w:rPr>
      </w:pPr>
      <w:r w:rsidRPr="00C457E4">
        <w:rPr>
          <w:rFonts w:ascii="Times New Roman" w:hAnsi="Times New Roman" w:cs="Times New Roman"/>
        </w:rPr>
        <w:t xml:space="preserve">The valuation analysis of Shoprite Holdings Ltd. is presented below using the two accepted equity valuation model: Price-Earnings Ratio (P/E) Model and Discount Dividend (DDM) Model. The objective is to estimate the intrinsic value of Shoprite’s stock based on key financial </w:t>
      </w:r>
      <w:r w:rsidR="00186401" w:rsidRPr="00C457E4">
        <w:rPr>
          <w:rFonts w:ascii="Times New Roman" w:hAnsi="Times New Roman" w:cs="Times New Roman"/>
        </w:rPr>
        <w:t>assumptions and</w:t>
      </w:r>
      <w:r w:rsidRPr="00C457E4">
        <w:rPr>
          <w:rFonts w:ascii="Times New Roman" w:hAnsi="Times New Roman" w:cs="Times New Roman"/>
        </w:rPr>
        <w:t xml:space="preserve"> then compare these results to the current market price to determine whether the stock is overvalued, undervalued, or fairly priced. </w:t>
      </w:r>
    </w:p>
    <w:p w14:paraId="36A4E2CC" w14:textId="77777777" w:rsidR="00662342" w:rsidRPr="00C457E4" w:rsidRDefault="00662342" w:rsidP="00C457E4">
      <w:pPr>
        <w:spacing w:line="360" w:lineRule="auto"/>
        <w:jc w:val="both"/>
        <w:rPr>
          <w:rFonts w:ascii="Times New Roman" w:hAnsi="Times New Roman" w:cs="Times New Roman"/>
        </w:rPr>
      </w:pPr>
      <w:r w:rsidRPr="00C457E4">
        <w:rPr>
          <w:rFonts w:ascii="Times New Roman" w:hAnsi="Times New Roman" w:cs="Times New Roman"/>
        </w:rPr>
        <w:t xml:space="preserve">Our valuation assumptions include risk-free rate, market risk premium, bond yields, equity risk premium, growth rates, and discount rates, which reflect the prevailing market conditions and Shoprite’s financial profile. Using these inputs, Shoprite’s sustainable growth rate from its return on equity and retention ratio is applied to the P/E ratio model to assess the value investors might assign to the company’s earnings. The DDM is also applied to estimate the intrinsic stock price based on expected dividends, dividend growth, and required returns.   </w:t>
      </w:r>
    </w:p>
    <w:p w14:paraId="6E9D8BF1" w14:textId="77777777" w:rsidR="00662342" w:rsidRPr="00C457E4" w:rsidRDefault="00662342" w:rsidP="00C457E4">
      <w:pPr>
        <w:spacing w:line="360" w:lineRule="auto"/>
        <w:jc w:val="both"/>
        <w:rPr>
          <w:rFonts w:ascii="Times New Roman" w:hAnsi="Times New Roman" w:cs="Times New Roman"/>
          <w:b/>
          <w:bCs/>
        </w:rPr>
      </w:pPr>
    </w:p>
    <w:p w14:paraId="2D0E829B" w14:textId="77777777" w:rsidR="00662342" w:rsidRPr="00C457E4" w:rsidRDefault="00662342" w:rsidP="00C457E4">
      <w:pPr>
        <w:spacing w:line="360" w:lineRule="auto"/>
        <w:jc w:val="both"/>
        <w:rPr>
          <w:rFonts w:ascii="Times New Roman" w:hAnsi="Times New Roman" w:cs="Times New Roman"/>
          <w:b/>
          <w:bCs/>
        </w:rPr>
      </w:pPr>
      <w:r w:rsidRPr="00C457E4">
        <w:rPr>
          <w:rFonts w:ascii="Times New Roman" w:hAnsi="Times New Roman" w:cs="Times New Roman"/>
          <w:b/>
          <w:bCs/>
        </w:rPr>
        <w:t>Price-Earnings Ratio in July</w:t>
      </w:r>
    </w:p>
    <w:p w14:paraId="20B53712" w14:textId="77777777" w:rsidR="00662342" w:rsidRPr="00C457E4" w:rsidRDefault="00662342" w:rsidP="00C457E4">
      <w:pPr>
        <w:spacing w:line="360" w:lineRule="auto"/>
        <w:jc w:val="both"/>
        <w:rPr>
          <w:rFonts w:ascii="Times New Roman" w:eastAsiaTheme="minorEastAsia" w:hAnsi="Times New Roman" w:cs="Times New Roman"/>
        </w:rPr>
      </w:pPr>
      <m:oMath>
        <m:r>
          <w:rPr>
            <w:rFonts w:ascii="Cambria Math" w:hAnsi="Cambria Math" w:cs="Times New Roman"/>
          </w:rPr>
          <m:t>g</m:t>
        </m:r>
      </m:oMath>
      <w:r w:rsidRPr="00C457E4">
        <w:rPr>
          <w:rFonts w:ascii="Times New Roman" w:hAnsi="Times New Roman" w:cs="Times New Roman"/>
        </w:rPr>
        <w:t xml:space="preserve"> = </w:t>
      </w:r>
      <m:oMath>
        <m:r>
          <w:rPr>
            <w:rFonts w:ascii="Cambria Math" w:hAnsi="Cambria Math" w:cs="Times New Roman"/>
          </w:rPr>
          <m:t>ROE</m:t>
        </m:r>
      </m:oMath>
      <w:r w:rsidRPr="00C457E4">
        <w:rPr>
          <w:rFonts w:ascii="Times New Roman" w:hAnsi="Times New Roman" w:cs="Times New Roman"/>
        </w:rPr>
        <w:t xml:space="preserve"> x </w:t>
      </w:r>
      <m:oMath>
        <m:r>
          <w:rPr>
            <w:rFonts w:ascii="Cambria Math" w:hAnsi="Cambria Math" w:cs="Times New Roman"/>
          </w:rPr>
          <m:t>b</m:t>
        </m:r>
      </m:oMath>
    </w:p>
    <w:p w14:paraId="630E814F" w14:textId="77777777" w:rsidR="00662342" w:rsidRPr="00C457E4" w:rsidRDefault="00000000" w:rsidP="00C457E4">
      <w:p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 xml:space="preserve">m </m:t>
            </m:r>
          </m:sub>
        </m:sSub>
      </m:oMath>
      <w:r w:rsidR="00662342" w:rsidRPr="00C457E4">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f</m:t>
            </m:r>
          </m:sub>
        </m:sSub>
      </m:oMath>
      <w:r w:rsidR="00662342" w:rsidRPr="00C457E4">
        <w:rPr>
          <w:rFonts w:ascii="Times New Roman" w:eastAsiaTheme="minorEastAsia" w:hAnsi="Times New Roman" w:cs="Times New Roman"/>
        </w:rPr>
        <w:t xml:space="preserve"> + market risk premium </w:t>
      </w:r>
    </w:p>
    <w:p w14:paraId="3E839063" w14:textId="77777777" w:rsidR="00662342" w:rsidRPr="00C457E4" w:rsidRDefault="00000000" w:rsidP="00C457E4">
      <w:pPr>
        <w:spacing w:line="360" w:lineRule="auto"/>
        <w:jc w:val="both"/>
        <w:rPr>
          <w:rFonts w:ascii="Times New Roman" w:eastAsiaTheme="minorEastAsia" w:hAnsi="Times New Roman" w:cs="Times New Roman"/>
        </w:rPr>
      </w:pPr>
      <m:oMathPara>
        <m:oMathParaPr>
          <m:jc m:val="left"/>
        </m:oMathPara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m:num>
            <m:den>
              <m:r>
                <w:rPr>
                  <w:rFonts w:ascii="Cambria Math" w:hAnsi="Cambria Math" w:cs="Times New Roman"/>
                </w:rPr>
                <m:t>E</m:t>
              </m:r>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1-b</m:t>
              </m:r>
            </m:num>
            <m:den>
              <m:r>
                <w:rPr>
                  <w:rFonts w:ascii="Cambria Math" w:hAnsi="Cambria Math" w:cs="Times New Roman"/>
                </w:rPr>
                <m:t>k-(b ×ROE)</m:t>
              </m:r>
            </m:den>
          </m:f>
        </m:oMath>
      </m:oMathPara>
    </w:p>
    <w:p w14:paraId="5846F3E4" w14:textId="77777777" w:rsidR="00662342" w:rsidRPr="00C457E4" w:rsidRDefault="00662342" w:rsidP="00C457E4">
      <w:pPr>
        <w:spacing w:line="360" w:lineRule="auto"/>
        <w:jc w:val="both"/>
        <w:rPr>
          <w:rFonts w:ascii="Times New Roman" w:hAnsi="Times New Roman" w:cs="Times New Roman"/>
        </w:rPr>
      </w:pPr>
    </w:p>
    <w:p w14:paraId="35074812" w14:textId="77777777" w:rsidR="00662342" w:rsidRPr="00C457E4" w:rsidRDefault="00662342" w:rsidP="00C457E4">
      <w:pPr>
        <w:spacing w:line="360" w:lineRule="auto"/>
        <w:jc w:val="both"/>
        <w:rPr>
          <w:rFonts w:ascii="Times New Roman" w:hAnsi="Times New Roman" w:cs="Times New Roman"/>
        </w:rPr>
      </w:pPr>
      <w:r w:rsidRPr="00C457E4">
        <w:rPr>
          <w:rFonts w:ascii="Times New Roman" w:hAnsi="Times New Roman" w:cs="Times New Roman"/>
        </w:rPr>
        <w:t>Where:</w:t>
      </w:r>
    </w:p>
    <w:bookmarkStart w:id="11" w:name="_Hlk211343928"/>
    <w:p w14:paraId="7364B6FF" w14:textId="77777777" w:rsidR="00662342" w:rsidRPr="00C457E4" w:rsidRDefault="00000000" w:rsidP="00C457E4">
      <w:pPr>
        <w:spacing w:line="360" w:lineRule="auto"/>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r>
          <w:rPr>
            <w:rFonts w:ascii="Cambria Math" w:eastAsiaTheme="minorEastAsia" w:hAnsi="Cambria Math" w:cs="Times New Roman"/>
          </w:rPr>
          <m:t>=</m:t>
        </m:r>
      </m:oMath>
      <w:r w:rsidR="00662342" w:rsidRPr="00C457E4">
        <w:rPr>
          <w:rFonts w:ascii="Times New Roman" w:eastAsiaTheme="minorEastAsia" w:hAnsi="Times New Roman" w:cs="Times New Roman"/>
        </w:rPr>
        <w:t xml:space="preserve"> risk free asset</w:t>
      </w:r>
      <w:bookmarkEnd w:id="11"/>
    </w:p>
    <w:bookmarkStart w:id="12" w:name="_Hlk211343979"/>
    <w:p w14:paraId="79CD5A61" w14:textId="77777777" w:rsidR="00662342" w:rsidRPr="00C457E4" w:rsidRDefault="00000000" w:rsidP="00C457E4">
      <w:p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m</m:t>
            </m:r>
          </m:sub>
        </m:sSub>
        <m:r>
          <w:rPr>
            <w:rFonts w:ascii="Cambria Math" w:eastAsiaTheme="minorEastAsia" w:hAnsi="Cambria Math" w:cs="Times New Roman"/>
          </w:rPr>
          <m:t xml:space="preserve">= </m:t>
        </m:r>
      </m:oMath>
      <w:r w:rsidR="00662342" w:rsidRPr="00C457E4">
        <w:rPr>
          <w:rFonts w:ascii="Times New Roman" w:eastAsiaTheme="minorEastAsia" w:hAnsi="Times New Roman" w:cs="Times New Roman"/>
        </w:rPr>
        <w:t xml:space="preserve">expected return on the market </w:t>
      </w:r>
      <w:bookmarkStart w:id="13" w:name="_Hlk211345024"/>
      <w:bookmarkEnd w:id="12"/>
      <w:r w:rsidR="00662342" w:rsidRPr="00C457E4">
        <w:rPr>
          <w:rFonts w:ascii="Times New Roman" w:eastAsiaTheme="minorEastAsia" w:hAnsi="Times New Roman" w:cs="Times New Roman"/>
        </w:rPr>
        <w:t xml:space="preserve">      </w:t>
      </w:r>
    </w:p>
    <w:bookmarkEnd w:id="13"/>
    <w:p w14:paraId="56114448" w14:textId="77777777" w:rsidR="00662342" w:rsidRPr="00C457E4" w:rsidRDefault="00662342" w:rsidP="00C457E4">
      <w:pPr>
        <w:spacing w:line="360" w:lineRule="auto"/>
        <w:jc w:val="both"/>
        <w:rPr>
          <w:rFonts w:ascii="Times New Roman" w:eastAsiaTheme="minorEastAsia" w:hAnsi="Times New Roman" w:cs="Times New Roman"/>
        </w:rPr>
      </w:pPr>
      <m:oMath>
        <m:r>
          <w:rPr>
            <w:rFonts w:ascii="Cambria Math" w:eastAsiaTheme="minorEastAsia" w:hAnsi="Cambria Math" w:cs="Times New Roman"/>
          </w:rPr>
          <m:t>b=</m:t>
        </m:r>
      </m:oMath>
      <w:r w:rsidRPr="00C457E4">
        <w:rPr>
          <w:rFonts w:ascii="Times New Roman" w:eastAsiaTheme="minorEastAsia" w:hAnsi="Times New Roman" w:cs="Times New Roman"/>
        </w:rPr>
        <w:t xml:space="preserve">  retention ratio </w:t>
      </w:r>
    </w:p>
    <w:p w14:paraId="6F756089" w14:textId="77777777" w:rsidR="00662342" w:rsidRPr="00C457E4" w:rsidRDefault="00662342" w:rsidP="00C457E4">
      <w:pPr>
        <w:spacing w:line="360" w:lineRule="auto"/>
        <w:jc w:val="both"/>
        <w:rPr>
          <w:rFonts w:ascii="Times New Roman" w:eastAsiaTheme="minorEastAsia" w:hAnsi="Times New Roman" w:cs="Times New Roman"/>
        </w:rPr>
      </w:pPr>
      <m:oMath>
        <m:r>
          <w:rPr>
            <w:rFonts w:ascii="Cambria Math" w:eastAsiaTheme="minorEastAsia" w:hAnsi="Cambria Math" w:cs="Times New Roman"/>
          </w:rPr>
          <m:t>g=</m:t>
        </m:r>
      </m:oMath>
      <w:r w:rsidRPr="00C457E4">
        <w:rPr>
          <w:rFonts w:ascii="Times New Roman" w:eastAsiaTheme="minorEastAsia" w:hAnsi="Times New Roman" w:cs="Times New Roman"/>
        </w:rPr>
        <w:t xml:space="preserve"> growth of rate earnings </w:t>
      </w:r>
    </w:p>
    <w:p w14:paraId="05055492" w14:textId="77777777" w:rsidR="00662342" w:rsidRPr="00C457E4" w:rsidRDefault="00662342" w:rsidP="00C457E4">
      <w:pPr>
        <w:spacing w:line="360" w:lineRule="auto"/>
        <w:jc w:val="both"/>
        <w:rPr>
          <w:rFonts w:ascii="Times New Roman" w:eastAsiaTheme="minorEastAsia" w:hAnsi="Times New Roman" w:cs="Times New Roman"/>
        </w:rPr>
      </w:pPr>
      <m:oMath>
        <m:r>
          <w:rPr>
            <w:rFonts w:ascii="Cambria Math" w:eastAsiaTheme="minorEastAsia" w:hAnsi="Cambria Math" w:cs="Times New Roman"/>
          </w:rPr>
          <m:t>ROE=</m:t>
        </m:r>
      </m:oMath>
      <w:r w:rsidRPr="00C457E4">
        <w:rPr>
          <w:rFonts w:ascii="Times New Roman" w:eastAsiaTheme="minorEastAsia" w:hAnsi="Times New Roman" w:cs="Times New Roman"/>
        </w:rPr>
        <w:t xml:space="preserve">  rate of return on equity </w:t>
      </w:r>
    </w:p>
    <w:p w14:paraId="388A0EA0" w14:textId="77777777" w:rsidR="00662342" w:rsidRPr="00C457E4" w:rsidRDefault="00662342" w:rsidP="00C457E4">
      <w:pPr>
        <w:spacing w:line="360" w:lineRule="auto"/>
        <w:jc w:val="both"/>
        <w:rPr>
          <w:rFonts w:ascii="Times New Roman" w:eastAsiaTheme="minorEastAsia" w:hAnsi="Times New Roman" w:cs="Times New Roman"/>
        </w:rPr>
      </w:pPr>
    </w:p>
    <w:p w14:paraId="235FE2B3" w14:textId="77777777" w:rsidR="00662342" w:rsidRPr="00C457E4" w:rsidRDefault="00662342" w:rsidP="00C457E4">
      <w:pPr>
        <w:spacing w:line="360" w:lineRule="auto"/>
        <w:jc w:val="both"/>
        <w:rPr>
          <w:rFonts w:ascii="Times New Roman" w:eastAsiaTheme="minorEastAsia" w:hAnsi="Times New Roman" w:cs="Times New Roman"/>
        </w:rPr>
      </w:pPr>
      <m:oMath>
        <m:r>
          <w:rPr>
            <w:rFonts w:ascii="Cambria Math" w:eastAsiaTheme="minorEastAsia" w:hAnsi="Cambria Math" w:cs="Times New Roman"/>
          </w:rPr>
          <m:t>g</m:t>
        </m:r>
      </m:oMath>
      <w:r w:rsidRPr="00C457E4">
        <w:rPr>
          <w:rFonts w:ascii="Times New Roman" w:eastAsiaTheme="minorEastAsia" w:hAnsi="Times New Roman" w:cs="Times New Roman"/>
        </w:rPr>
        <w:t xml:space="preserve"> = </w:t>
      </w:r>
      <m:oMath>
        <m:r>
          <w:rPr>
            <w:rFonts w:ascii="Cambria Math" w:eastAsiaTheme="minorEastAsia" w:hAnsi="Cambria Math" w:cs="Times New Roman"/>
          </w:rPr>
          <m:t>(9.63%+3.56%)</m:t>
        </m:r>
      </m:oMath>
      <w:r w:rsidRPr="00C457E4">
        <w:rPr>
          <w:rFonts w:ascii="Times New Roman" w:eastAsiaTheme="minorEastAsia" w:hAnsi="Times New Roman" w:cs="Times New Roman"/>
        </w:rPr>
        <w:t xml:space="preserve"> x </w:t>
      </w:r>
      <m:oMath>
        <m:r>
          <w:rPr>
            <w:rFonts w:ascii="Cambria Math" w:eastAsiaTheme="minorEastAsia" w:hAnsi="Cambria Math" w:cs="Times New Roman"/>
          </w:rPr>
          <m:t>0.43</m:t>
        </m:r>
      </m:oMath>
    </w:p>
    <w:p w14:paraId="3088A6F3" w14:textId="77777777" w:rsidR="00662342" w:rsidRPr="00C457E4" w:rsidRDefault="00662342" w:rsidP="00C457E4">
      <w:pPr>
        <w:spacing w:line="360" w:lineRule="auto"/>
        <w:jc w:val="both"/>
        <w:rPr>
          <w:rFonts w:ascii="Times New Roman" w:eastAsiaTheme="minorEastAsia" w:hAnsi="Times New Roman" w:cs="Times New Roman"/>
        </w:rPr>
      </w:pPr>
      <w:r w:rsidRPr="00C457E4">
        <w:rPr>
          <w:rFonts w:ascii="Times New Roman" w:eastAsiaTheme="minorEastAsia" w:hAnsi="Times New Roman" w:cs="Times New Roman"/>
        </w:rPr>
        <w:t xml:space="preserve">  = </w:t>
      </w:r>
      <m:oMath>
        <m:r>
          <w:rPr>
            <w:rFonts w:ascii="Cambria Math" w:eastAsiaTheme="minorEastAsia" w:hAnsi="Cambria Math" w:cs="Times New Roman"/>
          </w:rPr>
          <m:t>5.67%</m:t>
        </m:r>
      </m:oMath>
      <w:r w:rsidRPr="00C457E4">
        <w:rPr>
          <w:rFonts w:ascii="Times New Roman" w:eastAsiaTheme="minorEastAsia" w:hAnsi="Times New Roman" w:cs="Times New Roman"/>
        </w:rPr>
        <w:t xml:space="preserve"> </w:t>
      </w:r>
    </w:p>
    <w:p w14:paraId="05797B6B" w14:textId="77777777" w:rsidR="00662342" w:rsidRPr="00C457E4" w:rsidRDefault="00662342" w:rsidP="00C457E4">
      <w:pPr>
        <w:spacing w:line="360" w:lineRule="auto"/>
        <w:jc w:val="both"/>
        <w:rPr>
          <w:rFonts w:ascii="Times New Roman" w:eastAsiaTheme="minorEastAsia" w:hAnsi="Times New Roman" w:cs="Times New Roman"/>
        </w:rPr>
      </w:pPr>
    </w:p>
    <w:p w14:paraId="208061C2" w14:textId="77777777" w:rsidR="00662342" w:rsidRPr="00C457E4" w:rsidRDefault="00000000" w:rsidP="00C457E4">
      <w:p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 xml:space="preserve">m </m:t>
            </m:r>
          </m:sub>
        </m:sSub>
      </m:oMath>
      <w:r w:rsidR="00662342" w:rsidRPr="00C457E4">
        <w:rPr>
          <w:rFonts w:ascii="Times New Roman" w:eastAsiaTheme="minorEastAsia" w:hAnsi="Times New Roman" w:cs="Times New Roman"/>
        </w:rPr>
        <w:t xml:space="preserve"> = ROE =  </w:t>
      </w:r>
      <m:oMath>
        <m:r>
          <w:rPr>
            <w:rFonts w:ascii="Cambria Math" w:eastAsiaTheme="minorEastAsia" w:hAnsi="Cambria Math" w:cs="Times New Roman"/>
          </w:rPr>
          <m:t>9.63% + 3.56%</m:t>
        </m:r>
      </m:oMath>
    </w:p>
    <w:p w14:paraId="7833178E" w14:textId="77777777" w:rsidR="00662342" w:rsidRPr="00C457E4" w:rsidRDefault="00662342" w:rsidP="00C457E4">
      <w:pPr>
        <w:spacing w:line="360" w:lineRule="auto"/>
        <w:jc w:val="both"/>
        <w:rPr>
          <w:rFonts w:ascii="Times New Roman" w:eastAsiaTheme="minorEastAsia" w:hAnsi="Times New Roman" w:cs="Times New Roman"/>
        </w:rPr>
      </w:pPr>
      <w:r w:rsidRPr="00C457E4">
        <w:rPr>
          <w:rFonts w:ascii="Times New Roman" w:eastAsiaTheme="minorEastAsia" w:hAnsi="Times New Roman" w:cs="Times New Roman"/>
        </w:rPr>
        <w:t xml:space="preserve">      =13.19%</w:t>
      </w:r>
    </w:p>
    <w:p w14:paraId="5B1B98BF" w14:textId="77777777" w:rsidR="00662342" w:rsidRPr="00C457E4" w:rsidRDefault="00662342" w:rsidP="00C457E4">
      <w:pPr>
        <w:spacing w:line="360" w:lineRule="auto"/>
        <w:jc w:val="both"/>
        <w:rPr>
          <w:rFonts w:ascii="Times New Roman" w:eastAsiaTheme="minorEastAsia" w:hAnsi="Times New Roman" w:cs="Times New Roman"/>
        </w:rPr>
      </w:pPr>
    </w:p>
    <w:p w14:paraId="4CBFC275" w14:textId="77777777" w:rsidR="00662342" w:rsidRPr="00C457E4" w:rsidRDefault="00000000" w:rsidP="00C457E4">
      <w:pPr>
        <w:spacing w:line="360" w:lineRule="auto"/>
        <w:jc w:val="both"/>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m:t>
              </m:r>
            </m:num>
            <m:den>
              <m:r>
                <w:rPr>
                  <w:rFonts w:ascii="Cambria Math" w:eastAsiaTheme="minorEastAsia" w:hAnsi="Cambria Math" w:cs="Times New Roman"/>
                </w:rPr>
                <m:t>E</m:t>
              </m:r>
            </m:den>
          </m:f>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1-0.43</m:t>
              </m:r>
            </m:num>
            <m:den>
              <m:r>
                <w:rPr>
                  <w:rFonts w:ascii="Cambria Math" w:eastAsiaTheme="minorEastAsia" w:hAnsi="Cambria Math" w:cs="Times New Roman"/>
                </w:rPr>
                <m:t>0.1319-(0.0567)</m:t>
              </m:r>
            </m:den>
          </m:f>
          <m:r>
            <w:rPr>
              <w:rFonts w:ascii="Cambria Math" w:eastAsiaTheme="minorEastAsia" w:hAnsi="Cambria Math" w:cs="Times New Roman"/>
            </w:rPr>
            <m:t>=7.57</m:t>
          </m:r>
        </m:oMath>
      </m:oMathPara>
    </w:p>
    <w:p w14:paraId="7393F1FF" w14:textId="77777777" w:rsidR="00662342" w:rsidRPr="00C457E4" w:rsidRDefault="00662342" w:rsidP="00C457E4">
      <w:pPr>
        <w:spacing w:line="360" w:lineRule="auto"/>
        <w:jc w:val="both"/>
        <w:rPr>
          <w:rFonts w:ascii="Times New Roman" w:hAnsi="Times New Roman" w:cs="Times New Roman"/>
        </w:rPr>
      </w:pPr>
    </w:p>
    <w:p w14:paraId="0DB7A845" w14:textId="77777777" w:rsidR="00662342" w:rsidRPr="00C457E4" w:rsidRDefault="00662342" w:rsidP="00C457E4">
      <w:pPr>
        <w:spacing w:line="360" w:lineRule="auto"/>
        <w:jc w:val="both"/>
        <w:rPr>
          <w:rFonts w:ascii="Times New Roman" w:hAnsi="Times New Roman" w:cs="Times New Roman"/>
        </w:rPr>
      </w:pPr>
      <w:r w:rsidRPr="00C457E4">
        <w:rPr>
          <w:rFonts w:ascii="Times New Roman" w:hAnsi="Times New Roman" w:cs="Times New Roman"/>
        </w:rPr>
        <w:t>Using the sustainable growth model, the calculated P/E ratio of 7.57 indicates that investors are willing to pay approximately R7.57 for every R1 of earnings. Given the company’s retention ratio of 43% and ROE of 13.19%, the resulting growth from reinvested earnings is moderate (5.67%). Consequently, the P/E ratio is relatively low, suggesting that the stock may be undervalued relative to its earnings potential. This implies that the company’s shares could represent a value investment opportunity, assuming the growth rate and required return remain consistent.</w:t>
      </w:r>
    </w:p>
    <w:p w14:paraId="59BF1071" w14:textId="77777777" w:rsidR="00662342" w:rsidRPr="00C457E4" w:rsidRDefault="00662342" w:rsidP="00C457E4">
      <w:pPr>
        <w:spacing w:line="360" w:lineRule="auto"/>
        <w:jc w:val="both"/>
        <w:rPr>
          <w:rFonts w:ascii="Times New Roman" w:hAnsi="Times New Roman" w:cs="Times New Roman"/>
        </w:rPr>
      </w:pPr>
    </w:p>
    <w:p w14:paraId="11E6B3CB" w14:textId="77777777" w:rsidR="00662342" w:rsidRPr="00C457E4" w:rsidRDefault="00662342" w:rsidP="00C457E4">
      <w:pPr>
        <w:spacing w:line="360" w:lineRule="auto"/>
        <w:jc w:val="both"/>
        <w:rPr>
          <w:rFonts w:ascii="Times New Roman" w:hAnsi="Times New Roman" w:cs="Times New Roman"/>
          <w:b/>
          <w:bCs/>
        </w:rPr>
      </w:pPr>
      <w:r w:rsidRPr="00C457E4">
        <w:rPr>
          <w:rFonts w:ascii="Times New Roman" w:hAnsi="Times New Roman" w:cs="Times New Roman"/>
          <w:b/>
          <w:bCs/>
        </w:rPr>
        <w:t>Dividends discount model</w:t>
      </w:r>
      <w:bookmarkStart w:id="14" w:name="_Hlk211342762"/>
    </w:p>
    <w:p w14:paraId="5A8C2612" w14:textId="77777777" w:rsidR="00662342" w:rsidRPr="00C457E4" w:rsidRDefault="00000000" w:rsidP="00C457E4">
      <w:pPr>
        <w:spacing w:line="360" w:lineRule="auto"/>
        <w:jc w:val="both"/>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w:bookmarkEnd w:id="14"/>
          <m:r>
            <w:rPr>
              <w:rFonts w:ascii="Cambria Math" w:hAnsi="Cambria Math" w:cs="Times New Roman"/>
            </w:rPr>
            <m:t>=</m:t>
          </m:r>
          <m:f>
            <m:fPr>
              <m:ctrlPr>
                <w:rPr>
                  <w:rFonts w:ascii="Cambria Math" w:hAnsi="Cambria Math" w:cs="Times New Roman"/>
                  <w:i/>
                </w:rPr>
              </m:ctrlPr>
            </m:fPr>
            <m:num>
              <w:bookmarkStart w:id="15" w:name="_Hlk211342880"/>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w:bookmarkEnd w:id="15"/>
            </m:num>
            <m:den>
              <m:r>
                <w:rPr>
                  <w:rFonts w:ascii="Cambria Math" w:hAnsi="Cambria Math" w:cs="Times New Roman"/>
                </w:rPr>
                <m:t>k-</m:t>
              </m:r>
              <w:bookmarkStart w:id="16" w:name="_Hlk211342983"/>
              <m:r>
                <w:rPr>
                  <w:rFonts w:ascii="Cambria Math" w:hAnsi="Cambria Math" w:cs="Times New Roman"/>
                </w:rPr>
                <m:t>g</m:t>
              </m:r>
              <w:bookmarkEnd w:id="16"/>
            </m:den>
          </m:f>
        </m:oMath>
      </m:oMathPara>
    </w:p>
    <w:p w14:paraId="4D9D6AA3" w14:textId="77777777" w:rsidR="00662342" w:rsidRPr="00C457E4" w:rsidRDefault="00000000" w:rsidP="00C457E4">
      <w:pPr>
        <w:spacing w:line="360" w:lineRule="auto"/>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 xml:space="preserve">1 </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 xml:space="preserve">0 </m:t>
              </m:r>
            </m:sub>
          </m:sSub>
          <m:r>
            <w:rPr>
              <w:rFonts w:ascii="Cambria Math" w:eastAsiaTheme="minorEastAsia" w:hAnsi="Cambria Math" w:cs="Times New Roman"/>
            </w:rPr>
            <m:t>×(1+g)</m:t>
          </m:r>
        </m:oMath>
      </m:oMathPara>
    </w:p>
    <w:p w14:paraId="2B10D0D9" w14:textId="77777777" w:rsidR="00662342" w:rsidRPr="00C457E4" w:rsidRDefault="00662342" w:rsidP="00C457E4">
      <w:pPr>
        <w:spacing w:line="360" w:lineRule="auto"/>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 xml:space="preserve">k= </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f</m:t>
              </m:r>
            </m:sub>
          </m:sSub>
          <m:r>
            <w:rPr>
              <w:rFonts w:ascii="Cambria Math" w:eastAsiaTheme="minorEastAsia" w:hAnsi="Cambria Math" w:cs="Times New Roman"/>
            </w:rPr>
            <m:t>+β(</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 xml:space="preserve">m </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f</m:t>
              </m:r>
            </m:sub>
          </m:sSub>
          <m:r>
            <w:rPr>
              <w:rFonts w:ascii="Cambria Math" w:eastAsiaTheme="minorEastAsia" w:hAnsi="Cambria Math" w:cs="Times New Roman"/>
            </w:rPr>
            <m:t>)</m:t>
          </m:r>
        </m:oMath>
      </m:oMathPara>
    </w:p>
    <w:p w14:paraId="3F28E24F" w14:textId="77777777" w:rsidR="00662342" w:rsidRPr="00C457E4" w:rsidRDefault="00662342" w:rsidP="00C457E4">
      <w:pPr>
        <w:spacing w:line="360" w:lineRule="auto"/>
        <w:jc w:val="both"/>
        <w:rPr>
          <w:rFonts w:ascii="Times New Roman" w:hAnsi="Times New Roman" w:cs="Times New Roman"/>
        </w:rPr>
      </w:pPr>
      <w:r w:rsidRPr="00C457E4">
        <w:rPr>
          <w:rFonts w:ascii="Times New Roman" w:hAnsi="Times New Roman" w:cs="Times New Roman"/>
        </w:rPr>
        <w:t>Where:</w:t>
      </w:r>
    </w:p>
    <w:p w14:paraId="1E7EC37F" w14:textId="77777777" w:rsidR="00662342" w:rsidRPr="00C457E4" w:rsidRDefault="00000000" w:rsidP="00C457E4">
      <w:pPr>
        <w:spacing w:line="360" w:lineRule="auto"/>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 xml:space="preserve">= </m:t>
        </m:r>
      </m:oMath>
      <w:r w:rsidR="00662342" w:rsidRPr="00C457E4">
        <w:rPr>
          <w:rFonts w:ascii="Times New Roman" w:eastAsiaTheme="minorEastAsia" w:hAnsi="Times New Roman" w:cs="Times New Roman"/>
        </w:rPr>
        <w:t>Current stock price</w:t>
      </w:r>
    </w:p>
    <w:p w14:paraId="001EADF7" w14:textId="77777777" w:rsidR="00662342" w:rsidRPr="00C457E4" w:rsidRDefault="00000000" w:rsidP="00C457E4">
      <w:pPr>
        <w:spacing w:line="360" w:lineRule="auto"/>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 xml:space="preserve">= </m:t>
        </m:r>
      </m:oMath>
      <w:r w:rsidR="00662342" w:rsidRPr="00C457E4">
        <w:rPr>
          <w:rFonts w:ascii="Times New Roman" w:eastAsiaTheme="minorEastAsia" w:hAnsi="Times New Roman" w:cs="Times New Roman"/>
        </w:rPr>
        <w:t>dividend expected next year</w:t>
      </w:r>
    </w:p>
    <w:p w14:paraId="34049381" w14:textId="77777777" w:rsidR="00662342" w:rsidRPr="00C457E4" w:rsidRDefault="00662342" w:rsidP="00C457E4">
      <w:pPr>
        <w:spacing w:line="360" w:lineRule="auto"/>
        <w:jc w:val="both"/>
        <w:rPr>
          <w:rFonts w:ascii="Times New Roman" w:eastAsiaTheme="minorEastAsia" w:hAnsi="Times New Roman" w:cs="Times New Roman"/>
        </w:rPr>
      </w:pPr>
      <m:oMath>
        <m:r>
          <w:rPr>
            <w:rFonts w:ascii="Cambria Math" w:hAnsi="Cambria Math" w:cs="Times New Roman"/>
          </w:rPr>
          <m:t xml:space="preserve">k= </m:t>
        </m:r>
      </m:oMath>
      <w:r w:rsidRPr="00C457E4">
        <w:rPr>
          <w:rFonts w:ascii="Times New Roman" w:eastAsiaTheme="minorEastAsia" w:hAnsi="Times New Roman" w:cs="Times New Roman"/>
        </w:rPr>
        <w:t>required rate of return</w:t>
      </w:r>
    </w:p>
    <w:p w14:paraId="2E9B8D3D" w14:textId="77777777" w:rsidR="00662342" w:rsidRPr="00C457E4" w:rsidRDefault="00662342" w:rsidP="00C457E4">
      <w:pPr>
        <w:spacing w:line="360" w:lineRule="auto"/>
        <w:jc w:val="both"/>
        <w:rPr>
          <w:rFonts w:ascii="Times New Roman" w:eastAsiaTheme="minorEastAsia" w:hAnsi="Times New Roman" w:cs="Times New Roman"/>
        </w:rPr>
      </w:pPr>
      <m:oMath>
        <m:r>
          <w:rPr>
            <w:rFonts w:ascii="Cambria Math" w:hAnsi="Cambria Math" w:cs="Times New Roman"/>
          </w:rPr>
          <m:t>g=</m:t>
        </m:r>
      </m:oMath>
      <w:r w:rsidRPr="00C457E4">
        <w:rPr>
          <w:rFonts w:ascii="Times New Roman" w:eastAsiaTheme="minorEastAsia" w:hAnsi="Times New Roman" w:cs="Times New Roman"/>
        </w:rPr>
        <w:t xml:space="preserve"> dividend growth rate</w:t>
      </w:r>
    </w:p>
    <w:p w14:paraId="20862911" w14:textId="77777777" w:rsidR="00662342" w:rsidRPr="00C457E4" w:rsidRDefault="00000000" w:rsidP="00C457E4">
      <w:p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f</m:t>
            </m:r>
          </m:sub>
        </m:sSub>
        <m:r>
          <w:rPr>
            <w:rFonts w:ascii="Cambria Math" w:eastAsiaTheme="minorEastAsia" w:hAnsi="Cambria Math" w:cs="Times New Roman"/>
          </w:rPr>
          <m:t>=</m:t>
        </m:r>
      </m:oMath>
      <w:r w:rsidR="00662342" w:rsidRPr="00C457E4">
        <w:rPr>
          <w:rFonts w:ascii="Times New Roman" w:eastAsiaTheme="minorEastAsia" w:hAnsi="Times New Roman" w:cs="Times New Roman"/>
        </w:rPr>
        <w:t xml:space="preserve"> risk free asset</w:t>
      </w:r>
    </w:p>
    <w:p w14:paraId="55E224BA" w14:textId="77777777" w:rsidR="00662342" w:rsidRPr="00C457E4" w:rsidRDefault="00000000" w:rsidP="00C457E4">
      <w:p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 xml:space="preserve">m </m:t>
            </m:r>
          </m:sub>
        </m:sSub>
        <m:r>
          <w:rPr>
            <w:rFonts w:ascii="Cambria Math" w:eastAsiaTheme="minorEastAsia" w:hAnsi="Cambria Math" w:cs="Times New Roman"/>
          </w:rPr>
          <m:t>=</m:t>
        </m:r>
      </m:oMath>
      <w:r w:rsidR="00662342" w:rsidRPr="00C457E4">
        <w:rPr>
          <w:rFonts w:ascii="Times New Roman" w:eastAsiaTheme="minorEastAsia" w:hAnsi="Times New Roman" w:cs="Times New Roman"/>
        </w:rPr>
        <w:t xml:space="preserve"> expected return on the market </w:t>
      </w:r>
    </w:p>
    <w:p w14:paraId="5FA7CC35" w14:textId="77777777" w:rsidR="00662342" w:rsidRPr="00C457E4" w:rsidRDefault="00662342" w:rsidP="00C457E4">
      <w:pPr>
        <w:spacing w:line="360" w:lineRule="auto"/>
        <w:jc w:val="both"/>
        <w:rPr>
          <w:rFonts w:ascii="Times New Roman" w:eastAsiaTheme="minorEastAsia" w:hAnsi="Times New Roman" w:cs="Times New Roman"/>
        </w:rPr>
      </w:pPr>
      <m:oMath>
        <m:r>
          <w:rPr>
            <w:rFonts w:ascii="Cambria Math" w:eastAsiaTheme="minorEastAsia" w:hAnsi="Cambria Math" w:cs="Times New Roman"/>
          </w:rPr>
          <m:t xml:space="preserve">β= </m:t>
        </m:r>
      </m:oMath>
      <w:r w:rsidRPr="00C457E4">
        <w:rPr>
          <w:rFonts w:ascii="Times New Roman" w:eastAsiaTheme="minorEastAsia" w:hAnsi="Times New Roman" w:cs="Times New Roman"/>
        </w:rPr>
        <w:t>beta</w:t>
      </w:r>
    </w:p>
    <w:p w14:paraId="435208E3" w14:textId="77777777" w:rsidR="00662342" w:rsidRPr="00C457E4" w:rsidRDefault="00662342" w:rsidP="00C457E4">
      <w:pPr>
        <w:spacing w:line="360" w:lineRule="auto"/>
        <w:jc w:val="both"/>
        <w:rPr>
          <w:rFonts w:ascii="Times New Roman" w:eastAsiaTheme="minorEastAsia" w:hAnsi="Times New Roman" w:cs="Times New Roman"/>
        </w:rPr>
      </w:pPr>
    </w:p>
    <w:p w14:paraId="3D2BBB11" w14:textId="77777777" w:rsidR="00662342" w:rsidRPr="00C457E4" w:rsidRDefault="00000000" w:rsidP="00C457E4">
      <w:pPr>
        <w:spacing w:line="360" w:lineRule="auto"/>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 xml:space="preserve">1 </m:t>
              </m:r>
            </m:sub>
          </m:sSub>
          <m:r>
            <w:rPr>
              <w:rFonts w:ascii="Cambria Math" w:eastAsiaTheme="minorEastAsia" w:hAnsi="Cambria Math" w:cs="Times New Roman"/>
            </w:rPr>
            <m:t>=7.81×(1+0.0969)</m:t>
          </m:r>
        </m:oMath>
      </m:oMathPara>
    </w:p>
    <w:p w14:paraId="51B44368" w14:textId="77777777" w:rsidR="00662342" w:rsidRPr="00C457E4" w:rsidRDefault="00662342" w:rsidP="00C457E4">
      <w:pPr>
        <w:spacing w:line="360" w:lineRule="auto"/>
        <w:jc w:val="both"/>
        <w:rPr>
          <w:rFonts w:ascii="Times New Roman" w:eastAsiaTheme="minorEastAsia" w:hAnsi="Times New Roman" w:cs="Times New Roman"/>
        </w:rPr>
      </w:pPr>
      <w:r w:rsidRPr="00C457E4">
        <w:rPr>
          <w:rFonts w:ascii="Times New Roman" w:eastAsiaTheme="minorEastAsia" w:hAnsi="Times New Roman" w:cs="Times New Roman"/>
        </w:rPr>
        <w:t xml:space="preserve">       </w:t>
      </w:r>
      <m:oMath>
        <m:r>
          <w:rPr>
            <w:rFonts w:ascii="Cambria Math" w:eastAsiaTheme="minorEastAsia" w:hAnsi="Cambria Math" w:cs="Times New Roman"/>
          </w:rPr>
          <m:t>=8.57</m:t>
        </m:r>
      </m:oMath>
    </w:p>
    <w:p w14:paraId="0B8ACA85" w14:textId="77777777" w:rsidR="00662342" w:rsidRPr="00C457E4" w:rsidRDefault="00662342" w:rsidP="00C457E4">
      <w:pPr>
        <w:spacing w:line="360" w:lineRule="auto"/>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k=0.0963+0.43</m:t>
          </m:r>
          <m:d>
            <m:dPr>
              <m:ctrlPr>
                <w:rPr>
                  <w:rFonts w:ascii="Cambria Math" w:eastAsiaTheme="minorEastAsia" w:hAnsi="Cambria Math" w:cs="Times New Roman"/>
                  <w:i/>
                </w:rPr>
              </m:ctrlPr>
            </m:dPr>
            <m:e>
              <m:r>
                <w:rPr>
                  <w:rFonts w:ascii="Cambria Math" w:eastAsiaTheme="minorEastAsia" w:hAnsi="Cambria Math" w:cs="Times New Roman"/>
                </w:rPr>
                <m:t>0.1319-0.0963</m:t>
              </m:r>
            </m:e>
          </m:d>
        </m:oMath>
      </m:oMathPara>
    </w:p>
    <w:p w14:paraId="66880CB5" w14:textId="77777777" w:rsidR="00662342" w:rsidRPr="00C457E4" w:rsidRDefault="00662342" w:rsidP="00C457E4">
      <w:pPr>
        <w:spacing w:line="360" w:lineRule="auto"/>
        <w:jc w:val="both"/>
        <w:rPr>
          <w:rFonts w:ascii="Times New Roman" w:eastAsiaTheme="minorEastAsia" w:hAnsi="Times New Roman" w:cs="Times New Roman"/>
        </w:rPr>
      </w:pPr>
      <w:r w:rsidRPr="00C457E4">
        <w:rPr>
          <w:rFonts w:ascii="Times New Roman" w:eastAsiaTheme="minorEastAsia" w:hAnsi="Times New Roman" w:cs="Times New Roman"/>
        </w:rPr>
        <w:t xml:space="preserve">     </w:t>
      </w:r>
      <m:oMath>
        <m:r>
          <w:rPr>
            <w:rFonts w:ascii="Cambria Math" w:eastAsiaTheme="minorEastAsia" w:hAnsi="Cambria Math" w:cs="Times New Roman"/>
          </w:rPr>
          <m:t>=11.16%</m:t>
        </m:r>
      </m:oMath>
    </w:p>
    <w:p w14:paraId="0C5C6508" w14:textId="77777777" w:rsidR="00662342" w:rsidRPr="00C457E4" w:rsidRDefault="00000000" w:rsidP="00C457E4">
      <w:pPr>
        <w:spacing w:line="360" w:lineRule="auto"/>
        <w:jc w:val="both"/>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8.57</m:t>
              </m:r>
            </m:num>
            <m:den>
              <m:r>
                <w:rPr>
                  <w:rFonts w:ascii="Cambria Math" w:hAnsi="Cambria Math" w:cs="Times New Roman"/>
                </w:rPr>
                <m:t>0.1116-0.0969</m:t>
              </m:r>
            </m:den>
          </m:f>
        </m:oMath>
      </m:oMathPara>
    </w:p>
    <w:p w14:paraId="4F9C9F40" w14:textId="77777777" w:rsidR="00662342" w:rsidRPr="00C457E4" w:rsidRDefault="00662342" w:rsidP="00C457E4">
      <w:pPr>
        <w:spacing w:line="360" w:lineRule="auto"/>
        <w:jc w:val="both"/>
        <w:rPr>
          <w:rFonts w:ascii="Times New Roman" w:eastAsiaTheme="minorEastAsia" w:hAnsi="Times New Roman" w:cs="Times New Roman"/>
        </w:rPr>
      </w:pPr>
      <w:r w:rsidRPr="00C457E4">
        <w:rPr>
          <w:rFonts w:ascii="Times New Roman" w:eastAsiaTheme="minorEastAsia" w:hAnsi="Times New Roman" w:cs="Times New Roman"/>
        </w:rPr>
        <w:t xml:space="preserve">       </w:t>
      </w:r>
      <m:oMath>
        <m:r>
          <w:rPr>
            <w:rFonts w:ascii="Cambria Math" w:eastAsiaTheme="minorEastAsia" w:hAnsi="Cambria Math" w:cs="Times New Roman"/>
          </w:rPr>
          <m:t>=582.30</m:t>
        </m:r>
      </m:oMath>
    </w:p>
    <w:p w14:paraId="46962EB2" w14:textId="77777777" w:rsidR="00662342" w:rsidRPr="00C457E4" w:rsidRDefault="00662342" w:rsidP="00C457E4">
      <w:pPr>
        <w:spacing w:line="360" w:lineRule="auto"/>
        <w:jc w:val="both"/>
        <w:rPr>
          <w:rFonts w:ascii="Times New Roman" w:eastAsiaTheme="minorEastAsia" w:hAnsi="Times New Roman" w:cs="Times New Roman"/>
        </w:rPr>
      </w:pPr>
    </w:p>
    <w:p w14:paraId="0A8A3158" w14:textId="77D552BF" w:rsidR="00662342" w:rsidRPr="00C457E4" w:rsidRDefault="00662342" w:rsidP="00C457E4">
      <w:pPr>
        <w:spacing w:line="360" w:lineRule="auto"/>
        <w:jc w:val="both"/>
        <w:rPr>
          <w:rFonts w:ascii="Times New Roman" w:hAnsi="Times New Roman" w:cs="Times New Roman"/>
        </w:rPr>
      </w:pPr>
      <w:r w:rsidRPr="00C457E4">
        <w:rPr>
          <w:rFonts w:ascii="Times New Roman" w:hAnsi="Times New Roman" w:cs="Times New Roman"/>
        </w:rPr>
        <w:t>The intrinsic value of the stock calculated using the DDM is R582.30 per share. This is higher than the current market price</w:t>
      </w:r>
      <w:r w:rsidRPr="00C457E4">
        <w:rPr>
          <w:rFonts w:ascii="Times New Roman" w:hAnsi="Times New Roman" w:cs="Times New Roman"/>
          <w:color w:val="D86DCB" w:themeColor="accent5" w:themeTint="99"/>
        </w:rPr>
        <w:t xml:space="preserve"> </w:t>
      </w:r>
      <w:r w:rsidRPr="00C457E4">
        <w:rPr>
          <w:rFonts w:ascii="Times New Roman" w:hAnsi="Times New Roman" w:cs="Times New Roman"/>
        </w:rPr>
        <w:t>of R28</w:t>
      </w:r>
      <w:r w:rsidR="00D86105">
        <w:rPr>
          <w:rFonts w:ascii="Times New Roman" w:hAnsi="Times New Roman" w:cs="Times New Roman"/>
        </w:rPr>
        <w:t>0</w:t>
      </w:r>
      <w:r w:rsidRPr="00C457E4">
        <w:rPr>
          <w:rFonts w:ascii="Times New Roman" w:hAnsi="Times New Roman" w:cs="Times New Roman"/>
        </w:rPr>
        <w:t>.00, suggesting that the stock may be undervalued and could present a potential buying opportunity. The high projected dividend growth relative to the required return makes the valuation very sensitive, meaning small changes in growth or risk assumptions could significantly impact the intrinsic value. The low beta of 0.43 indicates lower risk, which reduces the required return and increases the stock’s value. Investors should also consider other valuation methods and market conditions for a comprehensive assessment.</w:t>
      </w:r>
    </w:p>
    <w:p w14:paraId="38BE535C" w14:textId="77777777" w:rsidR="00662342" w:rsidRPr="00C457E4" w:rsidRDefault="00662342" w:rsidP="00C457E4">
      <w:pPr>
        <w:spacing w:line="360" w:lineRule="auto"/>
        <w:rPr>
          <w:rFonts w:ascii="Times New Roman" w:hAnsi="Times New Roman" w:cs="Times New Roman"/>
          <w:b/>
          <w:bCs/>
        </w:rPr>
      </w:pPr>
    </w:p>
    <w:p w14:paraId="6319FBA0" w14:textId="5FEFE1A7" w:rsidR="00662342" w:rsidRPr="00EC6897" w:rsidRDefault="00EC6897" w:rsidP="00EC6897">
      <w:pPr>
        <w:pStyle w:val="Heading1"/>
        <w:rPr>
          <w:rFonts w:asciiTheme="majorBidi" w:hAnsiTheme="majorBidi"/>
          <w:b/>
          <w:bCs/>
          <w:color w:val="auto"/>
          <w:sz w:val="24"/>
          <w:szCs w:val="24"/>
        </w:rPr>
      </w:pPr>
      <w:bookmarkStart w:id="17" w:name="_Toc211444680"/>
      <w:r>
        <w:rPr>
          <w:rFonts w:asciiTheme="majorBidi" w:hAnsiTheme="majorBidi"/>
          <w:b/>
          <w:bCs/>
          <w:color w:val="auto"/>
          <w:sz w:val="24"/>
          <w:szCs w:val="24"/>
        </w:rPr>
        <w:lastRenderedPageBreak/>
        <w:t xml:space="preserve">5. </w:t>
      </w:r>
      <w:r w:rsidR="00662342" w:rsidRPr="00EC6897">
        <w:rPr>
          <w:rFonts w:asciiTheme="majorBidi" w:hAnsiTheme="majorBidi"/>
          <w:b/>
          <w:bCs/>
          <w:color w:val="auto"/>
          <w:sz w:val="24"/>
          <w:szCs w:val="24"/>
        </w:rPr>
        <w:t>CONCLUSION AND INVESTMENT RECOMMENDATIONS</w:t>
      </w:r>
      <w:bookmarkEnd w:id="17"/>
      <w:r w:rsidR="00662342" w:rsidRPr="00EC6897">
        <w:rPr>
          <w:rFonts w:asciiTheme="majorBidi" w:hAnsiTheme="majorBidi"/>
          <w:b/>
          <w:bCs/>
          <w:color w:val="auto"/>
          <w:sz w:val="24"/>
          <w:szCs w:val="24"/>
        </w:rPr>
        <w:t xml:space="preserve"> </w:t>
      </w:r>
    </w:p>
    <w:p w14:paraId="58BEC6FC" w14:textId="0A1D6F81" w:rsidR="00DE6C88" w:rsidRPr="00EC6897" w:rsidRDefault="000A582D" w:rsidP="00EC6897">
      <w:pPr>
        <w:spacing w:line="360" w:lineRule="auto"/>
        <w:jc w:val="both"/>
        <w:rPr>
          <w:rFonts w:ascii="Times New Roman" w:hAnsi="Times New Roman" w:cs="Times New Roman"/>
        </w:rPr>
      </w:pPr>
      <w:r w:rsidRPr="000A582D">
        <w:rPr>
          <w:rFonts w:ascii="Times New Roman" w:hAnsi="Times New Roman" w:cs="Times New Roman"/>
        </w:rPr>
        <w:t>Based on the comprehensive analysis of Shoprite Holdings Ltd., a buy recommendation is strongly warranted. The intrinsic stock value of R582.30, which is significantly higher than the current market price of R28</w:t>
      </w:r>
      <w:r w:rsidR="00D86105">
        <w:rPr>
          <w:rFonts w:ascii="Times New Roman" w:hAnsi="Times New Roman" w:cs="Times New Roman"/>
        </w:rPr>
        <w:t>0</w:t>
      </w:r>
      <w:r w:rsidRPr="000A582D">
        <w:rPr>
          <w:rFonts w:ascii="Times New Roman" w:hAnsi="Times New Roman" w:cs="Times New Roman"/>
        </w:rPr>
        <w:t xml:space="preserve">.00, indicates that the stock is undervalued and presents a compelling investment opportunity. Shoprite's robust financial performance, </w:t>
      </w:r>
      <w:r>
        <w:rPr>
          <w:rFonts w:ascii="Times New Roman" w:hAnsi="Times New Roman" w:cs="Times New Roman"/>
        </w:rPr>
        <w:t>characterised</w:t>
      </w:r>
      <w:r w:rsidRPr="000A582D">
        <w:rPr>
          <w:rFonts w:ascii="Times New Roman" w:hAnsi="Times New Roman" w:cs="Times New Roman"/>
        </w:rPr>
        <w:t xml:space="preserve"> by stable profitability and efficient operations, positions the company favourably within the competitive retail landscape. Furthermore, the company's strategic focus on expanding its e-commerce capabilities and exploring international markets offers significant growth potential, which could enhance shareholder value in the long term. The solid liquidity and effective inventory management practices further reinforce Shoprite's operational excellence, making it a resilient choice for investors. However, it is essential to acknowledge potential risks that could affect this recommendation. Political instability in the regions where Shoprite operates, ongoing load-shedding issues, currency fluctuations, and global economic shocks could impact consumer demand and overall financial performance. Therefore, while the recommendation to buy is based on strong fundamentals and growth prospects, investors should remain vigilant and consider these risks when making investment decisions.</w:t>
      </w:r>
    </w:p>
    <w:p w14:paraId="0C1A6544" w14:textId="2B5114F5" w:rsidR="00A675A0" w:rsidRPr="00EC6897" w:rsidRDefault="00A675A0" w:rsidP="00EC6897">
      <w:pPr>
        <w:pStyle w:val="Heading1"/>
        <w:rPr>
          <w:rFonts w:asciiTheme="majorBidi" w:hAnsiTheme="majorBidi"/>
          <w:sz w:val="24"/>
          <w:szCs w:val="24"/>
        </w:rPr>
      </w:pPr>
      <w:bookmarkStart w:id="18" w:name="_Toc211444681"/>
      <w:r w:rsidRPr="00EC6897">
        <w:rPr>
          <w:rFonts w:asciiTheme="majorBidi" w:hAnsiTheme="majorBidi"/>
          <w:sz w:val="24"/>
          <w:szCs w:val="24"/>
        </w:rPr>
        <w:t>REFERENCES</w:t>
      </w:r>
      <w:bookmarkEnd w:id="18"/>
      <w:r w:rsidRPr="00EC6897">
        <w:rPr>
          <w:rFonts w:asciiTheme="majorBidi" w:hAnsiTheme="majorBidi"/>
          <w:sz w:val="24"/>
          <w:szCs w:val="24"/>
        </w:rPr>
        <w:t xml:space="preserve"> </w:t>
      </w:r>
    </w:p>
    <w:p w14:paraId="6BAB9939"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Ajagbe, F. A. (2012). Application of probit analysis to factors affecting small scale enterprises' decision to take credit: A case study of Oyo State, Nigeria. Asian Economic and Financial Review, 2(8), 1064.</w:t>
      </w:r>
    </w:p>
    <w:p w14:paraId="31221067" w14:textId="77777777" w:rsidR="00A675A0" w:rsidRPr="00A675A0" w:rsidRDefault="00A675A0" w:rsidP="00A675A0">
      <w:pPr>
        <w:spacing w:after="0" w:line="240" w:lineRule="auto"/>
        <w:jc w:val="both"/>
        <w:rPr>
          <w:rFonts w:ascii="Times New Roman" w:eastAsia="Times New Roman" w:hAnsi="Times New Roman" w:cs="Times New Roman"/>
          <w:kern w:val="0"/>
          <w:lang w:eastAsia="en-GB"/>
          <w14:ligatures w14:val="none"/>
        </w:rPr>
      </w:pPr>
      <w:r w:rsidRPr="00A675A0">
        <w:rPr>
          <w:rFonts w:ascii="Times New Roman" w:eastAsia="Times New Roman" w:hAnsi="Times New Roman" w:cs="Times New Roman"/>
          <w:kern w:val="0"/>
          <w:lang w:eastAsia="en-GB"/>
          <w14:ligatures w14:val="none"/>
        </w:rPr>
        <w:t xml:space="preserve">Badal, A., 2021. A Case Study of Shoprite Holdings Limited, 2021. </w:t>
      </w:r>
      <w:r w:rsidRPr="00A675A0">
        <w:rPr>
          <w:rFonts w:ascii="Times New Roman" w:eastAsia="Times New Roman" w:hAnsi="Times New Roman" w:cs="Times New Roman"/>
          <w:i/>
          <w:iCs/>
          <w:kern w:val="0"/>
          <w:lang w:eastAsia="en-GB"/>
          <w14:ligatures w14:val="none"/>
        </w:rPr>
        <w:t>Journal of Management Policy &amp; Practice</w:t>
      </w:r>
      <w:r w:rsidRPr="00A675A0">
        <w:rPr>
          <w:rFonts w:ascii="Times New Roman" w:eastAsia="Times New Roman" w:hAnsi="Times New Roman" w:cs="Times New Roman"/>
          <w:kern w:val="0"/>
          <w:lang w:eastAsia="en-GB"/>
          <w14:ligatures w14:val="none"/>
        </w:rPr>
        <w:t xml:space="preserve">, </w:t>
      </w:r>
      <w:r w:rsidRPr="00A675A0">
        <w:rPr>
          <w:rFonts w:ascii="Times New Roman" w:eastAsia="Times New Roman" w:hAnsi="Times New Roman" w:cs="Times New Roman"/>
          <w:i/>
          <w:iCs/>
          <w:kern w:val="0"/>
          <w:lang w:eastAsia="en-GB"/>
          <w14:ligatures w14:val="none"/>
        </w:rPr>
        <w:t>22</w:t>
      </w:r>
      <w:r w:rsidRPr="00A675A0">
        <w:rPr>
          <w:rFonts w:ascii="Times New Roman" w:eastAsia="Times New Roman" w:hAnsi="Times New Roman" w:cs="Times New Roman"/>
          <w:kern w:val="0"/>
          <w:lang w:eastAsia="en-GB"/>
          <w14:ligatures w14:val="none"/>
        </w:rPr>
        <w:t>(3).</w:t>
      </w:r>
    </w:p>
    <w:p w14:paraId="02DBFA17" w14:textId="77777777" w:rsidR="00A675A0" w:rsidRPr="00A675A0" w:rsidRDefault="00A675A0" w:rsidP="00A675A0">
      <w:pPr>
        <w:spacing w:line="360" w:lineRule="auto"/>
        <w:jc w:val="both"/>
        <w:rPr>
          <w:rFonts w:ascii="Times New Roman" w:hAnsi="Times New Roman" w:cs="Times New Roman"/>
        </w:rPr>
      </w:pPr>
      <w:proofErr w:type="spellStart"/>
      <w:r w:rsidRPr="00A675A0">
        <w:rPr>
          <w:rFonts w:ascii="Times New Roman" w:hAnsi="Times New Roman" w:cs="Times New Roman"/>
        </w:rPr>
        <w:t>Balami</w:t>
      </w:r>
      <w:proofErr w:type="spellEnd"/>
      <w:r w:rsidRPr="00A675A0">
        <w:rPr>
          <w:rFonts w:ascii="Times New Roman" w:hAnsi="Times New Roman" w:cs="Times New Roman"/>
        </w:rPr>
        <w:t xml:space="preserve">, D. H. 2006. Macroeconomic theory and practice. Maiduguri: </w:t>
      </w:r>
      <w:proofErr w:type="spellStart"/>
      <w:r w:rsidRPr="00A675A0">
        <w:rPr>
          <w:rFonts w:ascii="Times New Roman" w:hAnsi="Times New Roman" w:cs="Times New Roman"/>
        </w:rPr>
        <w:t>Salawe</w:t>
      </w:r>
      <w:proofErr w:type="spellEnd"/>
      <w:r w:rsidRPr="00A675A0">
        <w:rPr>
          <w:rFonts w:ascii="Times New Roman" w:hAnsi="Times New Roman" w:cs="Times New Roman"/>
        </w:rPr>
        <w:t xml:space="preserve"> prints</w:t>
      </w:r>
    </w:p>
    <w:p w14:paraId="4C160073" w14:textId="77777777" w:rsidR="00A675A0" w:rsidRPr="00A675A0" w:rsidRDefault="00A675A0" w:rsidP="00A675A0">
      <w:pPr>
        <w:spacing w:line="360" w:lineRule="auto"/>
        <w:jc w:val="both"/>
        <w:rPr>
          <w:rFonts w:ascii="Times New Roman" w:hAnsi="Times New Roman" w:cs="Times New Roman"/>
        </w:rPr>
      </w:pPr>
      <w:proofErr w:type="spellStart"/>
      <w:r w:rsidRPr="00A675A0">
        <w:rPr>
          <w:rFonts w:ascii="Times New Roman" w:hAnsi="Times New Roman" w:cs="Times New Roman"/>
        </w:rPr>
        <w:t>Bekeris</w:t>
      </w:r>
      <w:proofErr w:type="spellEnd"/>
      <w:r w:rsidRPr="00A675A0">
        <w:rPr>
          <w:rFonts w:ascii="Times New Roman" w:hAnsi="Times New Roman" w:cs="Times New Roman"/>
        </w:rPr>
        <w:t xml:space="preserve">, R. 2012. The Impact of Macroeconomic Indicators upon SME’S Profitability. </w:t>
      </w:r>
      <w:proofErr w:type="spellStart"/>
      <w:r w:rsidRPr="00A675A0">
        <w:rPr>
          <w:rFonts w:ascii="Times New Roman" w:hAnsi="Times New Roman" w:cs="Times New Roman"/>
        </w:rPr>
        <w:t>Ekonomika</w:t>
      </w:r>
      <w:proofErr w:type="spellEnd"/>
      <w:r w:rsidRPr="00A675A0">
        <w:rPr>
          <w:rFonts w:ascii="Times New Roman" w:hAnsi="Times New Roman" w:cs="Times New Roman"/>
        </w:rPr>
        <w:t>. 91(3</w:t>
      </w:r>
      <w:proofErr w:type="gramStart"/>
      <w:r w:rsidRPr="00A675A0">
        <w:rPr>
          <w:rFonts w:ascii="Times New Roman" w:hAnsi="Times New Roman" w:cs="Times New Roman"/>
        </w:rPr>
        <w:t>).p.</w:t>
      </w:r>
      <w:proofErr w:type="gramEnd"/>
      <w:r w:rsidRPr="00A675A0">
        <w:rPr>
          <w:rFonts w:ascii="Times New Roman" w:hAnsi="Times New Roman" w:cs="Times New Roman"/>
        </w:rPr>
        <w:t>117-128.</w:t>
      </w:r>
    </w:p>
    <w:p w14:paraId="031C092F" w14:textId="77777777" w:rsidR="00A675A0" w:rsidRPr="00A675A0" w:rsidRDefault="00A675A0" w:rsidP="00A675A0">
      <w:pPr>
        <w:spacing w:line="259" w:lineRule="auto"/>
        <w:jc w:val="both"/>
        <w:rPr>
          <w:rFonts w:ascii="Times New Roman" w:eastAsia="Calibri" w:hAnsi="Times New Roman" w:cs="Times New Roman"/>
          <w:kern w:val="0"/>
          <w14:ligatures w14:val="none"/>
        </w:rPr>
      </w:pPr>
      <w:r w:rsidRPr="00A675A0">
        <w:rPr>
          <w:rFonts w:ascii="Times New Roman" w:eastAsia="Calibri" w:hAnsi="Times New Roman" w:cs="Times New Roman"/>
          <w:kern w:val="0"/>
          <w14:ligatures w14:val="none"/>
        </w:rPr>
        <w:t>Beneke, J. and Carter, S., 2015. The development of a consumer value proposition of private label brands and the application thereof in a South African retail context. </w:t>
      </w:r>
      <w:r w:rsidRPr="00A675A0">
        <w:rPr>
          <w:rFonts w:ascii="Times New Roman" w:eastAsia="Calibri" w:hAnsi="Times New Roman" w:cs="Times New Roman"/>
          <w:i/>
          <w:iCs/>
          <w:kern w:val="0"/>
          <w14:ligatures w14:val="none"/>
        </w:rPr>
        <w:t>Journal of Retailing and consumer services</w:t>
      </w:r>
      <w:r w:rsidRPr="00A675A0">
        <w:rPr>
          <w:rFonts w:ascii="Times New Roman" w:eastAsia="Calibri" w:hAnsi="Times New Roman" w:cs="Times New Roman"/>
          <w:kern w:val="0"/>
          <w14:ligatures w14:val="none"/>
        </w:rPr>
        <w:t>, </w:t>
      </w:r>
      <w:r w:rsidRPr="00A675A0">
        <w:rPr>
          <w:rFonts w:ascii="Times New Roman" w:eastAsia="Calibri" w:hAnsi="Times New Roman" w:cs="Times New Roman"/>
          <w:i/>
          <w:iCs/>
          <w:kern w:val="0"/>
          <w14:ligatures w14:val="none"/>
        </w:rPr>
        <w:t>25</w:t>
      </w:r>
      <w:r w:rsidRPr="00A675A0">
        <w:rPr>
          <w:rFonts w:ascii="Times New Roman" w:eastAsia="Calibri" w:hAnsi="Times New Roman" w:cs="Times New Roman"/>
          <w:kern w:val="0"/>
          <w14:ligatures w14:val="none"/>
        </w:rPr>
        <w:t xml:space="preserve">, pp.22-35. Available at: </w:t>
      </w:r>
      <w:hyperlink r:id="rId7" w:history="1">
        <w:r w:rsidRPr="00A675A0">
          <w:rPr>
            <w:rFonts w:ascii="Times New Roman" w:eastAsia="Calibri" w:hAnsi="Times New Roman" w:cs="Times New Roman"/>
            <w:color w:val="0563C1"/>
            <w:kern w:val="0"/>
            <w:u w:val="single"/>
            <w14:ligatures w14:val="none"/>
          </w:rPr>
          <w:t>https://doi.org/10.1016/j.jretconser.2015.03.002</w:t>
        </w:r>
      </w:hyperlink>
      <w:r w:rsidRPr="00A675A0">
        <w:rPr>
          <w:rFonts w:ascii="Times New Roman" w:eastAsia="Calibri" w:hAnsi="Times New Roman" w:cs="Times New Roman"/>
          <w:kern w:val="0"/>
          <w14:ligatures w14:val="none"/>
        </w:rPr>
        <w:t xml:space="preserve"> (Accessed on 04 October 2025)</w:t>
      </w:r>
    </w:p>
    <w:p w14:paraId="65990C8A"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lastRenderedPageBreak/>
        <w:t>Bloomberg .2023. Shoprite Valuation Analysis. Available at: https://www.bloomberg.com (Accessed: 22 September 2024).</w:t>
      </w:r>
    </w:p>
    <w:p w14:paraId="3B82FA61" w14:textId="77777777" w:rsidR="00A675A0" w:rsidRPr="00A675A0" w:rsidRDefault="00A675A0" w:rsidP="00A675A0">
      <w:pPr>
        <w:spacing w:line="259" w:lineRule="auto"/>
        <w:jc w:val="both"/>
        <w:rPr>
          <w:rFonts w:ascii="Times New Roman" w:eastAsia="Calibri" w:hAnsi="Times New Roman" w:cs="Times New Roman"/>
          <w:kern w:val="0"/>
          <w14:ligatures w14:val="none"/>
        </w:rPr>
      </w:pPr>
      <w:r w:rsidRPr="00A675A0">
        <w:rPr>
          <w:rFonts w:ascii="Times New Roman" w:eastAsia="Calibri" w:hAnsi="Times New Roman" w:cs="Times New Roman"/>
          <w:kern w:val="0"/>
          <w14:ligatures w14:val="none"/>
        </w:rPr>
        <w:t>Brown, D.T., Fee, C.E. and Thomas, S.E., 2009. Financial leverage and bargaining power with suppliers: Evidence from leveraged buyouts. </w:t>
      </w:r>
      <w:r w:rsidRPr="00A675A0">
        <w:rPr>
          <w:rFonts w:ascii="Times New Roman" w:eastAsia="Calibri" w:hAnsi="Times New Roman" w:cs="Times New Roman"/>
          <w:i/>
          <w:iCs/>
          <w:kern w:val="0"/>
          <w14:ligatures w14:val="none"/>
        </w:rPr>
        <w:t>Journal of Corporate Finance</w:t>
      </w:r>
      <w:r w:rsidRPr="00A675A0">
        <w:rPr>
          <w:rFonts w:ascii="Times New Roman" w:eastAsia="Calibri" w:hAnsi="Times New Roman" w:cs="Times New Roman"/>
          <w:kern w:val="0"/>
          <w14:ligatures w14:val="none"/>
        </w:rPr>
        <w:t>, </w:t>
      </w:r>
      <w:r w:rsidRPr="00A675A0">
        <w:rPr>
          <w:rFonts w:ascii="Times New Roman" w:eastAsia="Calibri" w:hAnsi="Times New Roman" w:cs="Times New Roman"/>
          <w:i/>
          <w:iCs/>
          <w:kern w:val="0"/>
          <w14:ligatures w14:val="none"/>
        </w:rPr>
        <w:t>15</w:t>
      </w:r>
      <w:r w:rsidRPr="00A675A0">
        <w:rPr>
          <w:rFonts w:ascii="Times New Roman" w:eastAsia="Calibri" w:hAnsi="Times New Roman" w:cs="Times New Roman"/>
          <w:kern w:val="0"/>
          <w14:ligatures w14:val="none"/>
        </w:rPr>
        <w:t xml:space="preserve">(2), pp.196-211. Available at: </w:t>
      </w:r>
      <w:hyperlink r:id="rId8" w:history="1">
        <w:r w:rsidRPr="00A675A0">
          <w:rPr>
            <w:rFonts w:ascii="Times New Roman" w:eastAsia="Calibri" w:hAnsi="Times New Roman" w:cs="Times New Roman"/>
            <w:color w:val="0563C1"/>
            <w:kern w:val="0"/>
            <w:u w:val="single"/>
            <w14:ligatures w14:val="none"/>
          </w:rPr>
          <w:t>https://doi.org/10.1016/j.jcorpfin.2008.10.004</w:t>
        </w:r>
      </w:hyperlink>
      <w:r w:rsidRPr="00A675A0">
        <w:rPr>
          <w:rFonts w:ascii="Times New Roman" w:eastAsia="Calibri" w:hAnsi="Times New Roman" w:cs="Times New Roman"/>
          <w:kern w:val="0"/>
          <w14:ligatures w14:val="none"/>
        </w:rPr>
        <w:t xml:space="preserve"> (Accessed on 02 October 2025)</w:t>
      </w:r>
    </w:p>
    <w:p w14:paraId="2ACC2977" w14:textId="77777777" w:rsidR="00A675A0" w:rsidRPr="000A582D" w:rsidRDefault="00A675A0" w:rsidP="00A675A0">
      <w:pPr>
        <w:spacing w:line="256" w:lineRule="auto"/>
        <w:jc w:val="both"/>
        <w:rPr>
          <w:rFonts w:ascii="Times New Roman" w:eastAsia="Calibri" w:hAnsi="Times New Roman" w:cs="Times New Roman"/>
          <w:kern w:val="0"/>
          <w:lang w:val="pt-BR"/>
          <w14:ligatures w14:val="none"/>
        </w:rPr>
      </w:pPr>
      <w:proofErr w:type="spellStart"/>
      <w:r w:rsidRPr="005B6280">
        <w:rPr>
          <w:rFonts w:ascii="Times New Roman" w:eastAsia="Calibri" w:hAnsi="Times New Roman" w:cs="Times New Roman"/>
          <w:kern w:val="0"/>
          <w14:ligatures w14:val="none"/>
        </w:rPr>
        <w:t>Cambaza</w:t>
      </w:r>
      <w:proofErr w:type="spellEnd"/>
      <w:r w:rsidRPr="005B6280">
        <w:rPr>
          <w:rFonts w:ascii="Times New Roman" w:eastAsia="Calibri" w:hAnsi="Times New Roman" w:cs="Times New Roman"/>
          <w:kern w:val="0"/>
          <w14:ligatures w14:val="none"/>
        </w:rPr>
        <w:t>, K., 2024. Shoprite Holdings Ltd Case Study: Shoprite Holdings Ltd Case Study. </w:t>
      </w:r>
      <w:r w:rsidRPr="000A582D">
        <w:rPr>
          <w:rFonts w:ascii="Times New Roman" w:eastAsia="Calibri" w:hAnsi="Times New Roman" w:cs="Times New Roman"/>
          <w:i/>
          <w:iCs/>
          <w:kern w:val="0"/>
          <w:lang w:val="pt-BR"/>
          <w14:ligatures w14:val="none"/>
        </w:rPr>
        <w:t>REVES-Revista Relações Sociais</w:t>
      </w:r>
      <w:r w:rsidRPr="000A582D">
        <w:rPr>
          <w:rFonts w:ascii="Times New Roman" w:eastAsia="Calibri" w:hAnsi="Times New Roman" w:cs="Times New Roman"/>
          <w:kern w:val="0"/>
          <w:lang w:val="pt-BR"/>
          <w14:ligatures w14:val="none"/>
        </w:rPr>
        <w:t>, </w:t>
      </w:r>
      <w:r w:rsidRPr="000A582D">
        <w:rPr>
          <w:rFonts w:ascii="Times New Roman" w:eastAsia="Calibri" w:hAnsi="Times New Roman" w:cs="Times New Roman"/>
          <w:i/>
          <w:iCs/>
          <w:kern w:val="0"/>
          <w:lang w:val="pt-BR"/>
          <w14:ligatures w14:val="none"/>
        </w:rPr>
        <w:t>7</w:t>
      </w:r>
      <w:r w:rsidRPr="000A582D">
        <w:rPr>
          <w:rFonts w:ascii="Times New Roman" w:eastAsia="Calibri" w:hAnsi="Times New Roman" w:cs="Times New Roman"/>
          <w:kern w:val="0"/>
          <w:lang w:val="pt-BR"/>
          <w14:ligatures w14:val="none"/>
        </w:rPr>
        <w:t xml:space="preserve">(2), pp.19553-19553. </w:t>
      </w:r>
    </w:p>
    <w:p w14:paraId="755F85FB" w14:textId="77777777" w:rsidR="00A675A0" w:rsidRPr="005B6280" w:rsidRDefault="00A675A0" w:rsidP="00A675A0">
      <w:pPr>
        <w:spacing w:line="256" w:lineRule="auto"/>
        <w:jc w:val="both"/>
        <w:rPr>
          <w:rFonts w:ascii="Times New Roman" w:eastAsia="Calibri" w:hAnsi="Times New Roman" w:cs="Times New Roman"/>
          <w:kern w:val="0"/>
          <w14:ligatures w14:val="none"/>
        </w:rPr>
      </w:pPr>
      <w:r w:rsidRPr="000A582D">
        <w:rPr>
          <w:rFonts w:ascii="Times New Roman" w:eastAsia="Calibri" w:hAnsi="Times New Roman" w:cs="Times New Roman"/>
          <w:kern w:val="0"/>
          <w:lang w:val="pt-BR"/>
          <w14:ligatures w14:val="none"/>
        </w:rPr>
        <w:t xml:space="preserve">Das Nair, R. </w:t>
      </w:r>
      <w:proofErr w:type="spellStart"/>
      <w:r w:rsidRPr="000A582D">
        <w:rPr>
          <w:rFonts w:ascii="Times New Roman" w:eastAsia="Calibri" w:hAnsi="Times New Roman" w:cs="Times New Roman"/>
          <w:kern w:val="0"/>
          <w:lang w:val="pt-BR"/>
          <w14:ligatures w14:val="none"/>
        </w:rPr>
        <w:t>and</w:t>
      </w:r>
      <w:proofErr w:type="spellEnd"/>
      <w:r w:rsidRPr="000A582D">
        <w:rPr>
          <w:rFonts w:ascii="Times New Roman" w:eastAsia="Calibri" w:hAnsi="Times New Roman" w:cs="Times New Roman"/>
          <w:kern w:val="0"/>
          <w:lang w:val="pt-BR"/>
          <w14:ligatures w14:val="none"/>
        </w:rPr>
        <w:t xml:space="preserve"> </w:t>
      </w:r>
      <w:proofErr w:type="spellStart"/>
      <w:r w:rsidRPr="000A582D">
        <w:rPr>
          <w:rFonts w:ascii="Times New Roman" w:eastAsia="Calibri" w:hAnsi="Times New Roman" w:cs="Times New Roman"/>
          <w:kern w:val="0"/>
          <w:lang w:val="pt-BR"/>
          <w14:ligatures w14:val="none"/>
        </w:rPr>
        <w:t>Dube</w:t>
      </w:r>
      <w:proofErr w:type="spellEnd"/>
      <w:r w:rsidRPr="000A582D">
        <w:rPr>
          <w:rFonts w:ascii="Times New Roman" w:eastAsia="Calibri" w:hAnsi="Times New Roman" w:cs="Times New Roman"/>
          <w:kern w:val="0"/>
          <w:lang w:val="pt-BR"/>
          <w14:ligatures w14:val="none"/>
        </w:rPr>
        <w:t xml:space="preserve">, S., 2015. </w:t>
      </w:r>
      <w:r w:rsidRPr="005B6280">
        <w:rPr>
          <w:rFonts w:ascii="Times New Roman" w:eastAsia="Calibri" w:hAnsi="Times New Roman" w:cs="Times New Roman"/>
          <w:kern w:val="0"/>
          <w14:ligatures w14:val="none"/>
        </w:rPr>
        <w:t>The expansion of regional supermarket chains: Changing models of retailing and the implications for local supplier capabilities in South Africa, Botswana, Zambia, and Zimbabwe. Available at:</w:t>
      </w:r>
    </w:p>
    <w:p w14:paraId="6CA3E086" w14:textId="77777777" w:rsidR="00A675A0" w:rsidRPr="005B6280" w:rsidRDefault="00A675A0" w:rsidP="00A675A0">
      <w:pPr>
        <w:spacing w:line="256" w:lineRule="auto"/>
        <w:jc w:val="both"/>
        <w:rPr>
          <w:rFonts w:ascii="Times New Roman" w:eastAsia="Calibri" w:hAnsi="Times New Roman" w:cs="Times New Roman"/>
          <w:kern w:val="0"/>
          <w14:ligatures w14:val="none"/>
        </w:rPr>
      </w:pPr>
      <w:r w:rsidRPr="005B6280">
        <w:rPr>
          <w:rFonts w:ascii="Times New Roman" w:eastAsia="Calibri" w:hAnsi="Times New Roman" w:cs="Times New Roman"/>
          <w:kern w:val="0"/>
          <w14:ligatures w14:val="none"/>
        </w:rPr>
        <w:t>Das Nair, R., 2018. The internationalisation of supermarkets and the nature of competitive rivalry in retailing in southern Africa. </w:t>
      </w:r>
      <w:r w:rsidRPr="005B6280">
        <w:rPr>
          <w:rFonts w:ascii="Times New Roman" w:eastAsia="Calibri" w:hAnsi="Times New Roman" w:cs="Times New Roman"/>
          <w:i/>
          <w:iCs/>
          <w:kern w:val="0"/>
          <w14:ligatures w14:val="none"/>
        </w:rPr>
        <w:t>Development Southern Africa</w:t>
      </w:r>
      <w:r w:rsidRPr="005B6280">
        <w:rPr>
          <w:rFonts w:ascii="Times New Roman" w:eastAsia="Calibri" w:hAnsi="Times New Roman" w:cs="Times New Roman"/>
          <w:kern w:val="0"/>
          <w14:ligatures w14:val="none"/>
        </w:rPr>
        <w:t>, </w:t>
      </w:r>
      <w:r w:rsidRPr="005B6280">
        <w:rPr>
          <w:rFonts w:ascii="Times New Roman" w:eastAsia="Calibri" w:hAnsi="Times New Roman" w:cs="Times New Roman"/>
          <w:i/>
          <w:iCs/>
          <w:kern w:val="0"/>
          <w14:ligatures w14:val="none"/>
        </w:rPr>
        <w:t>35</w:t>
      </w:r>
      <w:r w:rsidRPr="005B6280">
        <w:rPr>
          <w:rFonts w:ascii="Times New Roman" w:eastAsia="Calibri" w:hAnsi="Times New Roman" w:cs="Times New Roman"/>
          <w:kern w:val="0"/>
          <w14:ligatures w14:val="none"/>
        </w:rPr>
        <w:t xml:space="preserve">(3), pp.315-333. Available at: </w:t>
      </w:r>
      <w:hyperlink r:id="rId9" w:history="1">
        <w:r w:rsidRPr="005B6280">
          <w:rPr>
            <w:rFonts w:ascii="Times New Roman" w:eastAsia="Calibri" w:hAnsi="Times New Roman" w:cs="Times New Roman"/>
            <w:color w:val="0563C1"/>
            <w:kern w:val="0"/>
            <w:u w:val="single"/>
            <w14:ligatures w14:val="none"/>
          </w:rPr>
          <w:t>https://doi.org/10.1080/0376835X.2017.1390440</w:t>
        </w:r>
      </w:hyperlink>
      <w:r w:rsidRPr="005B6280">
        <w:rPr>
          <w:rFonts w:ascii="Times New Roman" w:eastAsia="Calibri" w:hAnsi="Times New Roman" w:cs="Times New Roman"/>
          <w:kern w:val="0"/>
          <w14:ligatures w14:val="none"/>
        </w:rPr>
        <w:t xml:space="preserve"> (Accessed on 29 September 2025)</w:t>
      </w:r>
    </w:p>
    <w:p w14:paraId="65E955B6" w14:textId="77777777" w:rsidR="00A675A0" w:rsidRPr="005B6280" w:rsidRDefault="00A675A0" w:rsidP="00A675A0">
      <w:pPr>
        <w:spacing w:line="256" w:lineRule="auto"/>
        <w:jc w:val="both"/>
        <w:rPr>
          <w:rFonts w:ascii="Times New Roman" w:eastAsia="Calibri" w:hAnsi="Times New Roman" w:cs="Times New Roman"/>
          <w:kern w:val="0"/>
          <w14:ligatures w14:val="none"/>
        </w:rPr>
      </w:pPr>
      <w:r w:rsidRPr="005B6280">
        <w:rPr>
          <w:rFonts w:ascii="Times New Roman" w:eastAsia="Calibri" w:hAnsi="Times New Roman" w:cs="Times New Roman"/>
          <w:kern w:val="0"/>
          <w14:ligatures w14:val="none"/>
        </w:rPr>
        <w:t>E. Dobbs, M., 2014. Guidelines for applying Porter's five forces framework: a set of industry analysis templates. </w:t>
      </w:r>
      <w:r w:rsidRPr="005B6280">
        <w:rPr>
          <w:rFonts w:ascii="Times New Roman" w:eastAsia="Calibri" w:hAnsi="Times New Roman" w:cs="Times New Roman"/>
          <w:i/>
          <w:iCs/>
          <w:kern w:val="0"/>
          <w14:ligatures w14:val="none"/>
        </w:rPr>
        <w:t>Competitiveness review</w:t>
      </w:r>
      <w:r w:rsidRPr="005B6280">
        <w:rPr>
          <w:rFonts w:ascii="Times New Roman" w:eastAsia="Calibri" w:hAnsi="Times New Roman" w:cs="Times New Roman"/>
          <w:kern w:val="0"/>
          <w14:ligatures w14:val="none"/>
        </w:rPr>
        <w:t>, </w:t>
      </w:r>
      <w:r w:rsidRPr="005B6280">
        <w:rPr>
          <w:rFonts w:ascii="Times New Roman" w:eastAsia="Calibri" w:hAnsi="Times New Roman" w:cs="Times New Roman"/>
          <w:i/>
          <w:iCs/>
          <w:kern w:val="0"/>
          <w14:ligatures w14:val="none"/>
        </w:rPr>
        <w:t>24</w:t>
      </w:r>
      <w:r w:rsidRPr="005B6280">
        <w:rPr>
          <w:rFonts w:ascii="Times New Roman" w:eastAsia="Calibri" w:hAnsi="Times New Roman" w:cs="Times New Roman"/>
          <w:kern w:val="0"/>
          <w14:ligatures w14:val="none"/>
        </w:rPr>
        <w:t xml:space="preserve">(1), pp.32-45. Available at: </w:t>
      </w:r>
      <w:hyperlink r:id="rId10" w:history="1">
        <w:r w:rsidRPr="005B6280">
          <w:rPr>
            <w:rFonts w:ascii="Times New Roman" w:eastAsia="Calibri" w:hAnsi="Times New Roman" w:cs="Times New Roman"/>
            <w:color w:val="0563C1"/>
            <w:kern w:val="0"/>
            <w:u w:val="single"/>
            <w14:ligatures w14:val="none"/>
          </w:rPr>
          <w:t>https://doi.org/10.1108/CR-06-2013-0059</w:t>
        </w:r>
      </w:hyperlink>
      <w:r w:rsidRPr="005B6280">
        <w:rPr>
          <w:rFonts w:ascii="Times New Roman" w:eastAsia="Calibri" w:hAnsi="Times New Roman" w:cs="Times New Roman"/>
          <w:kern w:val="0"/>
          <w14:ligatures w14:val="none"/>
        </w:rPr>
        <w:t xml:space="preserve"> (Accessed on 28 September 2025)</w:t>
      </w:r>
    </w:p>
    <w:p w14:paraId="438A09A6"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Euromonitor International. 2023. Retailing in South Africa. Available at: Euromonitor.com</w:t>
      </w:r>
    </w:p>
    <w:p w14:paraId="21A0F9AD"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Financial Mail .2024. Retail Industry Outlook. Available at: https://www.financialmail.co.za (Accessed: 22 September 2024).</w:t>
      </w:r>
    </w:p>
    <w:p w14:paraId="3797298E" w14:textId="77777777" w:rsidR="00A675A0" w:rsidRPr="005B6280" w:rsidRDefault="00A675A0" w:rsidP="00A675A0">
      <w:pPr>
        <w:spacing w:line="256" w:lineRule="auto"/>
        <w:jc w:val="both"/>
        <w:rPr>
          <w:rFonts w:ascii="Times New Roman" w:eastAsia="Calibri" w:hAnsi="Times New Roman" w:cs="Times New Roman"/>
          <w:kern w:val="0"/>
          <w14:ligatures w14:val="none"/>
        </w:rPr>
      </w:pPr>
      <w:r w:rsidRPr="005B6280">
        <w:rPr>
          <w:rFonts w:ascii="Times New Roman" w:eastAsia="Calibri" w:hAnsi="Times New Roman" w:cs="Times New Roman"/>
          <w:kern w:val="0"/>
          <w14:ligatures w14:val="none"/>
        </w:rPr>
        <w:t>Goga, S., Bosiu, T. and Bell, J., 2019. The role of development finance in the industrialisation of the South African economy. </w:t>
      </w:r>
      <w:r w:rsidRPr="005B6280">
        <w:rPr>
          <w:rFonts w:ascii="Times New Roman" w:eastAsia="Calibri" w:hAnsi="Times New Roman" w:cs="Times New Roman"/>
          <w:i/>
          <w:iCs/>
          <w:kern w:val="0"/>
          <w14:ligatures w14:val="none"/>
        </w:rPr>
        <w:t>Johannesburg: Centre for Competition, Regulation and Economic Development, University of Johannesburg. Working Paper</w:t>
      </w:r>
      <w:r w:rsidRPr="005B6280">
        <w:rPr>
          <w:rFonts w:ascii="Times New Roman" w:eastAsia="Calibri" w:hAnsi="Times New Roman" w:cs="Times New Roman"/>
          <w:kern w:val="0"/>
          <w14:ligatures w14:val="none"/>
        </w:rPr>
        <w:t>, </w:t>
      </w:r>
      <w:r w:rsidRPr="005B6280">
        <w:rPr>
          <w:rFonts w:ascii="Times New Roman" w:eastAsia="Calibri" w:hAnsi="Times New Roman" w:cs="Times New Roman"/>
          <w:i/>
          <w:iCs/>
          <w:kern w:val="0"/>
          <w14:ligatures w14:val="none"/>
        </w:rPr>
        <w:t>9</w:t>
      </w:r>
      <w:r w:rsidRPr="005B6280">
        <w:rPr>
          <w:rFonts w:ascii="Times New Roman" w:eastAsia="Calibri" w:hAnsi="Times New Roman" w:cs="Times New Roman"/>
          <w:kern w:val="0"/>
          <w14:ligatures w14:val="none"/>
        </w:rPr>
        <w:t xml:space="preserve">, p.2019. Available: </w:t>
      </w:r>
      <w:hyperlink r:id="rId11" w:history="1">
        <w:r w:rsidRPr="005B6280">
          <w:rPr>
            <w:rFonts w:ascii="Times New Roman" w:eastAsia="Calibri" w:hAnsi="Times New Roman" w:cs="Times New Roman"/>
            <w:color w:val="0563C1"/>
            <w:kern w:val="0"/>
            <w:u w:val="single"/>
            <w14:ligatures w14:val="none"/>
          </w:rPr>
          <w:t>https://doi.org/10.4102/jef.v16i1.864</w:t>
        </w:r>
      </w:hyperlink>
      <w:r w:rsidRPr="005B6280">
        <w:rPr>
          <w:rFonts w:ascii="Times New Roman" w:eastAsia="Calibri" w:hAnsi="Times New Roman" w:cs="Times New Roman"/>
          <w:kern w:val="0"/>
          <w14:ligatures w14:val="none"/>
        </w:rPr>
        <w:t xml:space="preserve"> (Accessed on 29 September 2025)</w:t>
      </w:r>
    </w:p>
    <w:p w14:paraId="3D21FFE8"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Hodges, J., 2014. The role of the International Labour Organisation in balancing work and family in the 21st century. Journal of Industrial Relations, 56(4), pp.566-576.</w:t>
      </w:r>
    </w:p>
    <w:p w14:paraId="5C634085" w14:textId="77777777" w:rsidR="00A675A0" w:rsidRPr="005B6280" w:rsidRDefault="00A675A0" w:rsidP="00A675A0">
      <w:pPr>
        <w:spacing w:line="360" w:lineRule="auto"/>
        <w:jc w:val="both"/>
        <w:rPr>
          <w:rFonts w:ascii="Times New Roman" w:eastAsia="Aptos" w:hAnsi="Times New Roman" w:cs="Times New Roman"/>
        </w:rPr>
      </w:pPr>
      <w:r w:rsidRPr="005B6280">
        <w:rPr>
          <w:rFonts w:ascii="Times New Roman" w:eastAsia="Aptos" w:hAnsi="Times New Roman" w:cs="Times New Roman"/>
        </w:rPr>
        <w:t xml:space="preserve">investing.com (2025). </w:t>
      </w:r>
      <w:r w:rsidRPr="005B6280">
        <w:rPr>
          <w:rFonts w:ascii="Times New Roman" w:eastAsia="Aptos" w:hAnsi="Times New Roman" w:cs="Times New Roman"/>
          <w:i/>
          <w:iCs/>
        </w:rPr>
        <w:t>Shoprite Holdings Ltd (SHPJ) Historical Prices - Investing.com ZA</w:t>
      </w:r>
      <w:r w:rsidRPr="005B6280">
        <w:rPr>
          <w:rFonts w:ascii="Times New Roman" w:eastAsia="Aptos" w:hAnsi="Times New Roman" w:cs="Times New Roman"/>
        </w:rPr>
        <w:t xml:space="preserve">. [online] Investing.com South Africa. Available at: </w:t>
      </w:r>
      <w:hyperlink r:id="rId12" w:history="1">
        <w:r w:rsidRPr="005B6280">
          <w:rPr>
            <w:rFonts w:ascii="Times New Roman" w:eastAsia="Aptos" w:hAnsi="Times New Roman" w:cs="Times New Roman"/>
            <w:color w:val="467886" w:themeColor="hyperlink"/>
            <w:u w:val="single"/>
          </w:rPr>
          <w:t>https://za.investing.com/equities/shoprite-holdings-ltd-(j)-historical-data</w:t>
        </w:r>
      </w:hyperlink>
    </w:p>
    <w:p w14:paraId="66AF14F7" w14:textId="77777777" w:rsidR="00A675A0" w:rsidRPr="005B6280" w:rsidRDefault="00A675A0" w:rsidP="00A675A0">
      <w:pPr>
        <w:spacing w:line="256" w:lineRule="auto"/>
        <w:jc w:val="both"/>
        <w:rPr>
          <w:rFonts w:ascii="Times New Roman" w:eastAsia="Calibri" w:hAnsi="Times New Roman" w:cs="Times New Roman"/>
          <w:kern w:val="0"/>
          <w14:ligatures w14:val="none"/>
        </w:rPr>
      </w:pPr>
      <w:r w:rsidRPr="005B6280">
        <w:rPr>
          <w:rFonts w:ascii="Times New Roman" w:eastAsia="Calibri" w:hAnsi="Times New Roman" w:cs="Times New Roman"/>
          <w:kern w:val="0"/>
          <w14:ligatures w14:val="none"/>
        </w:rPr>
        <w:lastRenderedPageBreak/>
        <w:t>Lee, S.M. and Rha, J.S., 2018. A network text analysis of published papers in service business, 2007–2017: research trends in the service sector. </w:t>
      </w:r>
      <w:r w:rsidRPr="005B6280">
        <w:rPr>
          <w:rFonts w:ascii="Times New Roman" w:eastAsia="Calibri" w:hAnsi="Times New Roman" w:cs="Times New Roman"/>
          <w:i/>
          <w:iCs/>
          <w:kern w:val="0"/>
          <w14:ligatures w14:val="none"/>
        </w:rPr>
        <w:t>Service Business</w:t>
      </w:r>
      <w:r w:rsidRPr="005B6280">
        <w:rPr>
          <w:rFonts w:ascii="Times New Roman" w:eastAsia="Calibri" w:hAnsi="Times New Roman" w:cs="Times New Roman"/>
          <w:kern w:val="0"/>
          <w14:ligatures w14:val="none"/>
        </w:rPr>
        <w:t>, </w:t>
      </w:r>
      <w:r w:rsidRPr="005B6280">
        <w:rPr>
          <w:rFonts w:ascii="Times New Roman" w:eastAsia="Calibri" w:hAnsi="Times New Roman" w:cs="Times New Roman"/>
          <w:i/>
          <w:iCs/>
          <w:kern w:val="0"/>
          <w14:ligatures w14:val="none"/>
        </w:rPr>
        <w:t>12</w:t>
      </w:r>
      <w:r w:rsidRPr="005B6280">
        <w:rPr>
          <w:rFonts w:ascii="Times New Roman" w:eastAsia="Calibri" w:hAnsi="Times New Roman" w:cs="Times New Roman"/>
          <w:kern w:val="0"/>
          <w14:ligatures w14:val="none"/>
        </w:rPr>
        <w:t xml:space="preserve">(4), pp.809-831. Available at: </w:t>
      </w:r>
      <w:hyperlink r:id="rId13" w:history="1">
        <w:r w:rsidRPr="005B6280">
          <w:rPr>
            <w:rFonts w:ascii="Times New Roman" w:eastAsia="Calibri" w:hAnsi="Times New Roman" w:cs="Times New Roman"/>
            <w:color w:val="0563C1"/>
            <w:kern w:val="0"/>
            <w:u w:val="single"/>
            <w14:ligatures w14:val="none"/>
          </w:rPr>
          <w:t>https://www.proquest.com/openview/93df0d1120a9f95305e8cabf119ddb6d/1?cbl=326309&amp;pq-origsite=gscholar</w:t>
        </w:r>
      </w:hyperlink>
      <w:r w:rsidRPr="005B6280">
        <w:rPr>
          <w:rFonts w:ascii="Times New Roman" w:eastAsia="Calibri" w:hAnsi="Times New Roman" w:cs="Times New Roman"/>
          <w:kern w:val="0"/>
          <w14:ligatures w14:val="none"/>
        </w:rPr>
        <w:t xml:space="preserve"> </w:t>
      </w:r>
    </w:p>
    <w:p w14:paraId="65C44216" w14:textId="77777777" w:rsidR="00A675A0" w:rsidRPr="005B6280" w:rsidRDefault="00A675A0" w:rsidP="00A675A0">
      <w:pPr>
        <w:spacing w:line="256" w:lineRule="auto"/>
        <w:jc w:val="both"/>
        <w:rPr>
          <w:rFonts w:ascii="Times New Roman" w:eastAsia="Calibri" w:hAnsi="Times New Roman" w:cs="Times New Roman"/>
          <w:kern w:val="0"/>
          <w14:ligatures w14:val="none"/>
        </w:rPr>
      </w:pPr>
      <w:r w:rsidRPr="005B6280">
        <w:rPr>
          <w:rFonts w:ascii="Times New Roman" w:eastAsia="Calibri" w:hAnsi="Times New Roman" w:cs="Times New Roman"/>
          <w:kern w:val="0"/>
          <w14:ligatures w14:val="none"/>
        </w:rPr>
        <w:t xml:space="preserve">Mabunda, M.V., Mukonza, R.M. and </w:t>
      </w:r>
      <w:proofErr w:type="spellStart"/>
      <w:r w:rsidRPr="005B6280">
        <w:rPr>
          <w:rFonts w:ascii="Times New Roman" w:eastAsia="Calibri" w:hAnsi="Times New Roman" w:cs="Times New Roman"/>
          <w:kern w:val="0"/>
          <w14:ligatures w14:val="none"/>
        </w:rPr>
        <w:t>Mudzanani</w:t>
      </w:r>
      <w:proofErr w:type="spellEnd"/>
      <w:r w:rsidRPr="005B6280">
        <w:rPr>
          <w:rFonts w:ascii="Times New Roman" w:eastAsia="Calibri" w:hAnsi="Times New Roman" w:cs="Times New Roman"/>
          <w:kern w:val="0"/>
          <w14:ligatures w14:val="none"/>
        </w:rPr>
        <w:t>, L.R., 2023. The effects of loadshedding on small and medium enterprises in the Collins Chabane local municipality. </w:t>
      </w:r>
      <w:r w:rsidRPr="005B6280">
        <w:rPr>
          <w:rFonts w:ascii="Times New Roman" w:eastAsia="Calibri" w:hAnsi="Times New Roman" w:cs="Times New Roman"/>
          <w:i/>
          <w:iCs/>
          <w:kern w:val="0"/>
          <w14:ligatures w14:val="none"/>
        </w:rPr>
        <w:t>Journal of Innovation and Entrepreneurship</w:t>
      </w:r>
      <w:r w:rsidRPr="005B6280">
        <w:rPr>
          <w:rFonts w:ascii="Times New Roman" w:eastAsia="Calibri" w:hAnsi="Times New Roman" w:cs="Times New Roman"/>
          <w:kern w:val="0"/>
          <w14:ligatures w14:val="none"/>
        </w:rPr>
        <w:t>, </w:t>
      </w:r>
      <w:r w:rsidRPr="005B6280">
        <w:rPr>
          <w:rFonts w:ascii="Times New Roman" w:eastAsia="Calibri" w:hAnsi="Times New Roman" w:cs="Times New Roman"/>
          <w:i/>
          <w:iCs/>
          <w:kern w:val="0"/>
          <w14:ligatures w14:val="none"/>
        </w:rPr>
        <w:t>12</w:t>
      </w:r>
      <w:r w:rsidRPr="005B6280">
        <w:rPr>
          <w:rFonts w:ascii="Times New Roman" w:eastAsia="Calibri" w:hAnsi="Times New Roman" w:cs="Times New Roman"/>
          <w:kern w:val="0"/>
          <w14:ligatures w14:val="none"/>
        </w:rPr>
        <w:t xml:space="preserve">(1), p.57. Available at: </w:t>
      </w:r>
      <w:hyperlink r:id="rId14" w:history="1">
        <w:r w:rsidRPr="005B6280">
          <w:rPr>
            <w:rFonts w:ascii="Times New Roman" w:eastAsia="Calibri" w:hAnsi="Times New Roman" w:cs="Times New Roman"/>
            <w:color w:val="0563C1"/>
            <w:kern w:val="0"/>
            <w:u w:val="single"/>
            <w14:ligatures w14:val="none"/>
          </w:rPr>
          <w:t>https://link.springer.com/article/10.1186/s13731-023-00327-7</w:t>
        </w:r>
      </w:hyperlink>
      <w:r w:rsidRPr="005B6280">
        <w:rPr>
          <w:rFonts w:ascii="Times New Roman" w:eastAsia="Calibri" w:hAnsi="Times New Roman" w:cs="Times New Roman"/>
          <w:kern w:val="0"/>
          <w14:ligatures w14:val="none"/>
        </w:rPr>
        <w:t xml:space="preserve"> (Accessed on 10 October 2025)</w:t>
      </w:r>
      <w:r w:rsidRPr="005B6280">
        <w:rPr>
          <w:rFonts w:ascii="Times New Roman" w:eastAsia="Calibri" w:hAnsi="Times New Roman" w:cs="Times New Roman"/>
          <w:kern w:val="0"/>
          <w14:ligatures w14:val="none"/>
        </w:rPr>
        <w:br/>
      </w:r>
      <w:proofErr w:type="spellStart"/>
      <w:r w:rsidRPr="005B6280">
        <w:rPr>
          <w:rFonts w:ascii="Times New Roman" w:eastAsia="Calibri" w:hAnsi="Times New Roman" w:cs="Times New Roman"/>
          <w:kern w:val="0"/>
          <w14:ligatures w14:val="none"/>
        </w:rPr>
        <w:t>Odunitan</w:t>
      </w:r>
      <w:proofErr w:type="spellEnd"/>
      <w:r w:rsidRPr="005B6280">
        <w:rPr>
          <w:rFonts w:ascii="Times New Roman" w:eastAsia="Calibri" w:hAnsi="Times New Roman" w:cs="Times New Roman"/>
          <w:kern w:val="0"/>
          <w14:ligatures w14:val="none"/>
        </w:rPr>
        <w:t xml:space="preserve">-Wayas, F.A., Hamann, N., </w:t>
      </w:r>
      <w:proofErr w:type="spellStart"/>
      <w:r w:rsidRPr="005B6280">
        <w:rPr>
          <w:rFonts w:ascii="Times New Roman" w:eastAsia="Calibri" w:hAnsi="Times New Roman" w:cs="Times New Roman"/>
          <w:kern w:val="0"/>
          <w14:ligatures w14:val="none"/>
        </w:rPr>
        <w:t>Sinyanya</w:t>
      </w:r>
      <w:proofErr w:type="spellEnd"/>
      <w:r w:rsidRPr="005B6280">
        <w:rPr>
          <w:rFonts w:ascii="Times New Roman" w:eastAsia="Calibri" w:hAnsi="Times New Roman" w:cs="Times New Roman"/>
          <w:kern w:val="0"/>
          <w14:ligatures w14:val="none"/>
        </w:rPr>
        <w:t xml:space="preserve">, N.A., King, A.C., </w:t>
      </w:r>
      <w:proofErr w:type="spellStart"/>
      <w:r w:rsidRPr="005B6280">
        <w:rPr>
          <w:rFonts w:ascii="Times New Roman" w:eastAsia="Calibri" w:hAnsi="Times New Roman" w:cs="Times New Roman"/>
          <w:kern w:val="0"/>
          <w14:ligatures w14:val="none"/>
        </w:rPr>
        <w:t>Banchoff</w:t>
      </w:r>
      <w:proofErr w:type="spellEnd"/>
      <w:r w:rsidRPr="005B6280">
        <w:rPr>
          <w:rFonts w:ascii="Times New Roman" w:eastAsia="Calibri" w:hAnsi="Times New Roman" w:cs="Times New Roman"/>
          <w:kern w:val="0"/>
          <w14:ligatures w14:val="none"/>
        </w:rPr>
        <w:t xml:space="preserve">, A., Winter, S.J., Hendricks, S., </w:t>
      </w:r>
      <w:proofErr w:type="spellStart"/>
      <w:r w:rsidRPr="005B6280">
        <w:rPr>
          <w:rFonts w:ascii="Times New Roman" w:eastAsia="Calibri" w:hAnsi="Times New Roman" w:cs="Times New Roman"/>
          <w:kern w:val="0"/>
          <w14:ligatures w14:val="none"/>
        </w:rPr>
        <w:t>Okop</w:t>
      </w:r>
      <w:proofErr w:type="spellEnd"/>
      <w:r w:rsidRPr="005B6280">
        <w:rPr>
          <w:rFonts w:ascii="Times New Roman" w:eastAsia="Calibri" w:hAnsi="Times New Roman" w:cs="Times New Roman"/>
          <w:kern w:val="0"/>
          <w14:ligatures w14:val="none"/>
        </w:rPr>
        <w:t>, K.J. and Lambert, E.V., 2020. A citizen science approach to determine perceived barriers and promoters of physical activity in a low-income South African community. </w:t>
      </w:r>
      <w:r w:rsidRPr="005B6280">
        <w:rPr>
          <w:rFonts w:ascii="Times New Roman" w:eastAsia="Calibri" w:hAnsi="Times New Roman" w:cs="Times New Roman"/>
          <w:i/>
          <w:iCs/>
          <w:kern w:val="0"/>
          <w14:ligatures w14:val="none"/>
        </w:rPr>
        <w:t>Global Public Health</w:t>
      </w:r>
      <w:r w:rsidRPr="005B6280">
        <w:rPr>
          <w:rFonts w:ascii="Times New Roman" w:eastAsia="Calibri" w:hAnsi="Times New Roman" w:cs="Times New Roman"/>
          <w:kern w:val="0"/>
          <w14:ligatures w14:val="none"/>
        </w:rPr>
        <w:t>, </w:t>
      </w:r>
      <w:r w:rsidRPr="005B6280">
        <w:rPr>
          <w:rFonts w:ascii="Times New Roman" w:eastAsia="Calibri" w:hAnsi="Times New Roman" w:cs="Times New Roman"/>
          <w:i/>
          <w:iCs/>
          <w:kern w:val="0"/>
          <w14:ligatures w14:val="none"/>
        </w:rPr>
        <w:t>15</w:t>
      </w:r>
      <w:r w:rsidRPr="005B6280">
        <w:rPr>
          <w:rFonts w:ascii="Times New Roman" w:eastAsia="Calibri" w:hAnsi="Times New Roman" w:cs="Times New Roman"/>
          <w:kern w:val="0"/>
          <w14:ligatures w14:val="none"/>
        </w:rPr>
        <w:t xml:space="preserve">(5), pp.749-762. Available at: </w:t>
      </w:r>
      <w:hyperlink r:id="rId15" w:history="1">
        <w:r w:rsidRPr="005B6280">
          <w:rPr>
            <w:rFonts w:ascii="Times New Roman" w:eastAsia="Calibri" w:hAnsi="Times New Roman" w:cs="Times New Roman"/>
            <w:color w:val="0563C1"/>
            <w:kern w:val="0"/>
            <w:u w:val="single"/>
            <w14:ligatures w14:val="none"/>
          </w:rPr>
          <w:t>https://doi.org/10.1080/17441692.2020.1712449</w:t>
        </w:r>
      </w:hyperlink>
      <w:r w:rsidRPr="005B6280">
        <w:rPr>
          <w:rFonts w:ascii="Times New Roman" w:eastAsia="Calibri" w:hAnsi="Times New Roman" w:cs="Times New Roman"/>
          <w:kern w:val="0"/>
          <w14:ligatures w14:val="none"/>
        </w:rPr>
        <w:t xml:space="preserve"> (Accessed on 12 October 2025)</w:t>
      </w:r>
    </w:p>
    <w:p w14:paraId="35283796"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McConnell, C. R., Brue, S. L., &amp; Flynn, S. M. (2023). THE THEORETICAL ASPECTS OF THE COMPANY’S CAPITAL STRUCTURE.</w:t>
      </w:r>
    </w:p>
    <w:p w14:paraId="62E9370D"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MSCI .2022. ESG Ratings Report. Available at: https://www.msci.com (Accessed: 22 September 2024).</w:t>
      </w:r>
    </w:p>
    <w:p w14:paraId="27F1EB74"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Osoro, C. &amp; Ogeto, W. (2014) Macro Economic Fluctuations Effects on The Financial Performance of Listed Manufacturing Firms in Kenya. International Journal of Social Sciences. 21 (1</w:t>
      </w:r>
      <w:proofErr w:type="gramStart"/>
      <w:r w:rsidRPr="00A675A0">
        <w:rPr>
          <w:rFonts w:ascii="Times New Roman" w:hAnsi="Times New Roman" w:cs="Times New Roman"/>
        </w:rPr>
        <w:t>) .</w:t>
      </w:r>
      <w:proofErr w:type="gramEnd"/>
      <w:r w:rsidRPr="00A675A0">
        <w:rPr>
          <w:rFonts w:ascii="Times New Roman" w:hAnsi="Times New Roman" w:cs="Times New Roman"/>
        </w:rPr>
        <w:t>p. 26-40.</w:t>
      </w:r>
    </w:p>
    <w:p w14:paraId="06E2930B" w14:textId="77777777" w:rsidR="00A675A0" w:rsidRPr="005B6280" w:rsidRDefault="00A675A0" w:rsidP="00A675A0">
      <w:pPr>
        <w:spacing w:line="256" w:lineRule="auto"/>
        <w:jc w:val="both"/>
        <w:rPr>
          <w:rFonts w:ascii="Times New Roman" w:eastAsia="Calibri" w:hAnsi="Times New Roman" w:cs="Times New Roman"/>
          <w:color w:val="222222"/>
          <w:kern w:val="0"/>
          <w:shd w:val="clear" w:color="auto" w:fill="FFFFFF"/>
          <w14:ligatures w14:val="none"/>
        </w:rPr>
      </w:pPr>
      <w:r w:rsidRPr="005B6280">
        <w:rPr>
          <w:rFonts w:ascii="Times New Roman" w:eastAsia="Calibri" w:hAnsi="Times New Roman" w:cs="Times New Roman"/>
          <w:color w:val="222222"/>
          <w:kern w:val="0"/>
          <w:shd w:val="clear" w:color="auto" w:fill="FFFFFF"/>
          <w14:ligatures w14:val="none"/>
        </w:rPr>
        <w:t>Porter, M.E., 2008. The five competitive forces that shape strategy. </w:t>
      </w:r>
      <w:r w:rsidRPr="005B6280">
        <w:rPr>
          <w:rFonts w:ascii="Times New Roman" w:eastAsia="Calibri" w:hAnsi="Times New Roman" w:cs="Times New Roman"/>
          <w:i/>
          <w:iCs/>
          <w:color w:val="222222"/>
          <w:kern w:val="0"/>
          <w:shd w:val="clear" w:color="auto" w:fill="FFFFFF"/>
          <w14:ligatures w14:val="none"/>
        </w:rPr>
        <w:t>Harvard business review</w:t>
      </w:r>
      <w:r w:rsidRPr="005B6280">
        <w:rPr>
          <w:rFonts w:ascii="Times New Roman" w:eastAsia="Calibri" w:hAnsi="Times New Roman" w:cs="Times New Roman"/>
          <w:color w:val="222222"/>
          <w:kern w:val="0"/>
          <w:shd w:val="clear" w:color="auto" w:fill="FFFFFF"/>
          <w14:ligatures w14:val="none"/>
        </w:rPr>
        <w:t>, </w:t>
      </w:r>
      <w:r w:rsidRPr="005B6280">
        <w:rPr>
          <w:rFonts w:ascii="Times New Roman" w:eastAsia="Calibri" w:hAnsi="Times New Roman" w:cs="Times New Roman"/>
          <w:i/>
          <w:iCs/>
          <w:color w:val="222222"/>
          <w:kern w:val="0"/>
          <w:shd w:val="clear" w:color="auto" w:fill="FFFFFF"/>
          <w14:ligatures w14:val="none"/>
        </w:rPr>
        <w:t>86</w:t>
      </w:r>
      <w:r w:rsidRPr="005B6280">
        <w:rPr>
          <w:rFonts w:ascii="Times New Roman" w:eastAsia="Calibri" w:hAnsi="Times New Roman" w:cs="Times New Roman"/>
          <w:color w:val="222222"/>
          <w:kern w:val="0"/>
          <w:shd w:val="clear" w:color="auto" w:fill="FFFFFF"/>
          <w14:ligatures w14:val="none"/>
        </w:rPr>
        <w:t xml:space="preserve">(1), p.78. Available at: </w:t>
      </w:r>
      <w:hyperlink r:id="rId16" w:anchor="page=26" w:history="1">
        <w:r w:rsidRPr="005B6280">
          <w:rPr>
            <w:rFonts w:ascii="Times New Roman" w:eastAsia="Calibri" w:hAnsi="Times New Roman" w:cs="Times New Roman"/>
            <w:color w:val="0563C1"/>
            <w:kern w:val="0"/>
            <w:u w:val="single"/>
            <w:shd w:val="clear" w:color="auto" w:fill="FFFFFF"/>
            <w14:ligatures w14:val="none"/>
          </w:rPr>
          <w:t>https://www.blueoceanstrategyaustralia.com.au/wp-content/uploads/2023/08/HBRs-10-Must-Reads-on-Strategy.pdf#page=26</w:t>
        </w:r>
      </w:hyperlink>
      <w:r w:rsidRPr="005B6280">
        <w:rPr>
          <w:rFonts w:ascii="Times New Roman" w:eastAsia="Calibri" w:hAnsi="Times New Roman" w:cs="Times New Roman"/>
          <w:color w:val="222222"/>
          <w:kern w:val="0"/>
          <w:shd w:val="clear" w:color="auto" w:fill="FFFFFF"/>
          <w14:ligatures w14:val="none"/>
        </w:rPr>
        <w:t xml:space="preserve"> (Accessed on 29 September 2025)</w:t>
      </w:r>
    </w:p>
    <w:p w14:paraId="3D2FAE91"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PwC .2021. Retail and Consumer Outlook. Available at: PwC.com.</w:t>
      </w:r>
    </w:p>
    <w:p w14:paraId="6948B289"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PwC .2022. Retail Industry Insights. Available at: https://www.pwc.co.za (Accessed: 22 September 2024).</w:t>
      </w:r>
    </w:p>
    <w:p w14:paraId="24F62503" w14:textId="77777777" w:rsidR="00A675A0" w:rsidRPr="005B6280" w:rsidRDefault="00A675A0" w:rsidP="00A675A0">
      <w:pPr>
        <w:spacing w:line="256" w:lineRule="auto"/>
        <w:jc w:val="both"/>
        <w:rPr>
          <w:rFonts w:ascii="Times New Roman" w:eastAsia="Calibri" w:hAnsi="Times New Roman" w:cs="Times New Roman"/>
          <w:kern w:val="0"/>
          <w14:ligatures w14:val="none"/>
        </w:rPr>
      </w:pPr>
      <w:proofErr w:type="spellStart"/>
      <w:r w:rsidRPr="005B6280">
        <w:rPr>
          <w:rFonts w:ascii="Times New Roman" w:eastAsia="Calibri" w:hAnsi="Times New Roman" w:cs="Times New Roman"/>
          <w:kern w:val="0"/>
          <w14:ligatures w14:val="none"/>
        </w:rPr>
        <w:t>Shenjere</w:t>
      </w:r>
      <w:proofErr w:type="spellEnd"/>
      <w:r w:rsidRPr="005B6280">
        <w:rPr>
          <w:rFonts w:ascii="Times New Roman" w:eastAsia="Calibri" w:hAnsi="Times New Roman" w:cs="Times New Roman"/>
          <w:kern w:val="0"/>
          <w14:ligatures w14:val="none"/>
        </w:rPr>
        <w:t xml:space="preserve">, F. and </w:t>
      </w:r>
      <w:proofErr w:type="spellStart"/>
      <w:r w:rsidRPr="005B6280">
        <w:rPr>
          <w:rFonts w:ascii="Times New Roman" w:eastAsia="Calibri" w:hAnsi="Times New Roman" w:cs="Times New Roman"/>
          <w:kern w:val="0"/>
          <w14:ligatures w14:val="none"/>
        </w:rPr>
        <w:t>Middelberg</w:t>
      </w:r>
      <w:proofErr w:type="spellEnd"/>
      <w:r w:rsidRPr="005B6280">
        <w:rPr>
          <w:rFonts w:ascii="Times New Roman" w:eastAsia="Calibri" w:hAnsi="Times New Roman" w:cs="Times New Roman"/>
          <w:kern w:val="0"/>
          <w14:ligatures w14:val="none"/>
        </w:rPr>
        <w:t>, S.L., 2023. Analysing the impact of COVID-19 on the digital strategies of South African retailers. </w:t>
      </w:r>
      <w:r w:rsidRPr="005B6280">
        <w:rPr>
          <w:rFonts w:ascii="Times New Roman" w:eastAsia="Calibri" w:hAnsi="Times New Roman" w:cs="Times New Roman"/>
          <w:i/>
          <w:iCs/>
          <w:kern w:val="0"/>
          <w14:ligatures w14:val="none"/>
        </w:rPr>
        <w:t>Journal of Economic and Financial Sciences</w:t>
      </w:r>
      <w:r w:rsidRPr="005B6280">
        <w:rPr>
          <w:rFonts w:ascii="Times New Roman" w:eastAsia="Calibri" w:hAnsi="Times New Roman" w:cs="Times New Roman"/>
          <w:kern w:val="0"/>
          <w14:ligatures w14:val="none"/>
        </w:rPr>
        <w:t>, </w:t>
      </w:r>
      <w:r w:rsidRPr="005B6280">
        <w:rPr>
          <w:rFonts w:ascii="Times New Roman" w:eastAsia="Calibri" w:hAnsi="Times New Roman" w:cs="Times New Roman"/>
          <w:i/>
          <w:iCs/>
          <w:kern w:val="0"/>
          <w14:ligatures w14:val="none"/>
        </w:rPr>
        <w:t>16</w:t>
      </w:r>
      <w:r w:rsidRPr="005B6280">
        <w:rPr>
          <w:rFonts w:ascii="Times New Roman" w:eastAsia="Calibri" w:hAnsi="Times New Roman" w:cs="Times New Roman"/>
          <w:kern w:val="0"/>
          <w14:ligatures w14:val="none"/>
        </w:rPr>
        <w:t xml:space="preserve">(1), p.10. Available at: </w:t>
      </w:r>
      <w:hyperlink r:id="rId17" w:history="1">
        <w:r w:rsidRPr="005B6280">
          <w:rPr>
            <w:rFonts w:ascii="Times New Roman" w:eastAsia="Calibri" w:hAnsi="Times New Roman" w:cs="Times New Roman"/>
            <w:color w:val="0563C1"/>
            <w:kern w:val="0"/>
            <w:u w:val="single"/>
            <w14:ligatures w14:val="none"/>
          </w:rPr>
          <w:t>https://doi.org/10.4102/jef.v16i1.864</w:t>
        </w:r>
      </w:hyperlink>
      <w:r w:rsidRPr="005B6280">
        <w:rPr>
          <w:rFonts w:ascii="Times New Roman" w:eastAsia="Calibri" w:hAnsi="Times New Roman" w:cs="Times New Roman"/>
          <w:kern w:val="0"/>
          <w14:ligatures w14:val="none"/>
        </w:rPr>
        <w:t xml:space="preserve"> (Accessed on 08 October 2025)</w:t>
      </w:r>
    </w:p>
    <w:p w14:paraId="11F6A581"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Shoprite Holdings .2023. Annual Integrated Report 2023. Available at: https://www.shopriteholdings.co.za (Accessed: 22 September 2024).</w:t>
      </w:r>
    </w:p>
    <w:p w14:paraId="3E380F4B" w14:textId="77777777" w:rsidR="00A675A0" w:rsidRPr="005B6280" w:rsidRDefault="00A675A0" w:rsidP="00A675A0">
      <w:pPr>
        <w:spacing w:line="256" w:lineRule="auto"/>
        <w:jc w:val="both"/>
        <w:rPr>
          <w:rFonts w:ascii="Times New Roman" w:eastAsia="Calibri" w:hAnsi="Times New Roman" w:cs="Times New Roman"/>
          <w:kern w:val="0"/>
          <w14:ligatures w14:val="none"/>
        </w:rPr>
      </w:pPr>
      <w:r w:rsidRPr="005B6280">
        <w:rPr>
          <w:rFonts w:ascii="Times New Roman" w:eastAsia="Calibri" w:hAnsi="Times New Roman" w:cs="Times New Roman"/>
          <w:kern w:val="0"/>
          <w14:ligatures w14:val="none"/>
        </w:rPr>
        <w:lastRenderedPageBreak/>
        <w:t xml:space="preserve">Shoprite Holdings Ltd. (2025). Shareholders and Investors Information. Retrieved October 14, 2025, from </w:t>
      </w:r>
      <w:hyperlink r:id="rId18" w:history="1">
        <w:r w:rsidRPr="005B6280">
          <w:rPr>
            <w:rFonts w:ascii="Times New Roman" w:eastAsia="Calibri" w:hAnsi="Times New Roman" w:cs="Times New Roman"/>
            <w:color w:val="0563C1"/>
            <w:kern w:val="0"/>
            <w:u w:val="single"/>
            <w14:ligatures w14:val="none"/>
          </w:rPr>
          <w:t>https://www.shopriteholdings.co.za/shareholders-investors.html</w:t>
        </w:r>
      </w:hyperlink>
      <w:r w:rsidRPr="005B6280">
        <w:rPr>
          <w:rFonts w:ascii="Times New Roman" w:eastAsia="Calibri" w:hAnsi="Times New Roman" w:cs="Times New Roman"/>
          <w:kern w:val="0"/>
          <w14:ligatures w14:val="none"/>
        </w:rPr>
        <w:t xml:space="preserve"> </w:t>
      </w:r>
    </w:p>
    <w:p w14:paraId="07AF8A63" w14:textId="77777777" w:rsidR="00A675A0" w:rsidRPr="00A675A0" w:rsidRDefault="00A675A0" w:rsidP="00A675A0">
      <w:pPr>
        <w:spacing w:line="360" w:lineRule="auto"/>
        <w:jc w:val="both"/>
        <w:rPr>
          <w:rFonts w:ascii="Times New Roman" w:hAnsi="Times New Roman" w:cs="Times New Roman"/>
        </w:rPr>
      </w:pPr>
      <w:r w:rsidRPr="00A675A0">
        <w:rPr>
          <w:rFonts w:ascii="Times New Roman" w:hAnsi="Times New Roman" w:cs="Times New Roman"/>
        </w:rPr>
        <w:t>Shoprite Holdings.2023. Integrated Annual Report 2023. Available at: Shoprite.com</w:t>
      </w:r>
    </w:p>
    <w:p w14:paraId="745CBF25" w14:textId="77777777" w:rsidR="00A675A0" w:rsidRPr="005B6280" w:rsidRDefault="00A675A0" w:rsidP="00A675A0">
      <w:pPr>
        <w:spacing w:line="256" w:lineRule="auto"/>
        <w:jc w:val="both"/>
        <w:rPr>
          <w:rFonts w:ascii="Times New Roman" w:eastAsia="Calibri" w:hAnsi="Times New Roman" w:cs="Times New Roman"/>
          <w:kern w:val="0"/>
          <w14:ligatures w14:val="none"/>
        </w:rPr>
      </w:pPr>
      <w:r w:rsidRPr="005B6280">
        <w:rPr>
          <w:rFonts w:ascii="Times New Roman" w:eastAsia="Calibri" w:hAnsi="Times New Roman" w:cs="Times New Roman"/>
          <w:kern w:val="0"/>
          <w14:ligatures w14:val="none"/>
        </w:rPr>
        <w:t xml:space="preserve">Wormald, S., 2013. An analysis of the benefits of issuing convertible debt in South Africa: Shoprite Holdings Ltd Case Study. Available at: </w:t>
      </w:r>
      <w:hyperlink r:id="rId19" w:history="1">
        <w:r w:rsidRPr="005B6280">
          <w:rPr>
            <w:rFonts w:ascii="Times New Roman" w:eastAsia="Calibri" w:hAnsi="Times New Roman" w:cs="Times New Roman"/>
            <w:color w:val="0563C1"/>
            <w:kern w:val="0"/>
            <w:u w:val="single"/>
            <w14:ligatures w14:val="none"/>
          </w:rPr>
          <w:t>http://hdl.handle.net/11427/11058</w:t>
        </w:r>
      </w:hyperlink>
      <w:r w:rsidRPr="005B6280">
        <w:rPr>
          <w:rFonts w:ascii="Times New Roman" w:eastAsia="Calibri" w:hAnsi="Times New Roman" w:cs="Times New Roman"/>
          <w:kern w:val="0"/>
          <w14:ligatures w14:val="none"/>
        </w:rPr>
        <w:t xml:space="preserve"> (Accessed on 10 October 2025)</w:t>
      </w:r>
    </w:p>
    <w:p w14:paraId="1092D50F" w14:textId="77777777" w:rsidR="005B6280" w:rsidRDefault="005B6280" w:rsidP="005B6280">
      <w:pPr>
        <w:spacing w:line="256" w:lineRule="auto"/>
        <w:rPr>
          <w:rFonts w:ascii="Calibri" w:eastAsia="Calibri" w:hAnsi="Calibri" w:cs="Times New Roman"/>
          <w:kern w:val="0"/>
          <w14:ligatures w14:val="none"/>
        </w:rPr>
      </w:pPr>
    </w:p>
    <w:p w14:paraId="00C91219" w14:textId="77777777" w:rsidR="005B6280" w:rsidRPr="005B6280" w:rsidRDefault="005B6280" w:rsidP="005B6280">
      <w:pPr>
        <w:spacing w:line="256" w:lineRule="auto"/>
        <w:rPr>
          <w:rFonts w:ascii="Calibri" w:eastAsia="Calibri" w:hAnsi="Calibri" w:cs="Times New Roman"/>
          <w:kern w:val="0"/>
          <w14:ligatures w14:val="none"/>
        </w:rPr>
      </w:pPr>
    </w:p>
    <w:p w14:paraId="0B21055B" w14:textId="77777777" w:rsidR="005B6280" w:rsidRPr="005B6280" w:rsidRDefault="005B6280" w:rsidP="005B6280">
      <w:pPr>
        <w:spacing w:line="256" w:lineRule="auto"/>
        <w:rPr>
          <w:rFonts w:ascii="Calibri" w:eastAsia="Calibri" w:hAnsi="Calibri" w:cs="Times New Roman"/>
          <w:kern w:val="0"/>
          <w14:ligatures w14:val="none"/>
        </w:rPr>
      </w:pPr>
    </w:p>
    <w:p w14:paraId="3F59C5BC" w14:textId="77777777" w:rsidR="005B6280" w:rsidRDefault="005B6280" w:rsidP="00186401">
      <w:pPr>
        <w:spacing w:line="360" w:lineRule="auto"/>
        <w:jc w:val="both"/>
        <w:rPr>
          <w:rFonts w:ascii="Arial" w:hAnsi="Arial" w:cs="Arial"/>
        </w:rPr>
      </w:pPr>
    </w:p>
    <w:p w14:paraId="0D45DCD9" w14:textId="77777777" w:rsidR="005B6280" w:rsidRDefault="005B6280" w:rsidP="00186401">
      <w:pPr>
        <w:spacing w:line="360" w:lineRule="auto"/>
        <w:jc w:val="both"/>
        <w:rPr>
          <w:rFonts w:ascii="Arial" w:hAnsi="Arial" w:cs="Arial"/>
        </w:rPr>
      </w:pPr>
    </w:p>
    <w:p w14:paraId="157A420F" w14:textId="77777777" w:rsidR="004935F3" w:rsidRPr="004935F3" w:rsidRDefault="004935F3" w:rsidP="00FE408A">
      <w:pPr>
        <w:spacing w:line="360" w:lineRule="auto"/>
        <w:jc w:val="both"/>
        <w:rPr>
          <w:rFonts w:ascii="Arial" w:hAnsi="Arial" w:cs="Arial"/>
        </w:rPr>
      </w:pPr>
    </w:p>
    <w:p w14:paraId="348B9565" w14:textId="77777777" w:rsidR="00FE408A" w:rsidRPr="00730BE8" w:rsidRDefault="00FE408A" w:rsidP="00730BE8">
      <w:pPr>
        <w:spacing w:line="360" w:lineRule="auto"/>
        <w:jc w:val="both"/>
        <w:rPr>
          <w:rFonts w:ascii="Times New Roman" w:hAnsi="Times New Roman" w:cs="Times New Roman"/>
          <w:lang w:val="en-US"/>
        </w:rPr>
      </w:pPr>
    </w:p>
    <w:sectPr w:rsidR="00FE408A" w:rsidRPr="00730BE8" w:rsidSect="00730BE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1DC"/>
    <w:multiLevelType w:val="hybridMultilevel"/>
    <w:tmpl w:val="12DE489C"/>
    <w:lvl w:ilvl="0" w:tplc="1C09000F">
      <w:start w:val="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23B05D7"/>
    <w:multiLevelType w:val="multilevel"/>
    <w:tmpl w:val="5798E5D2"/>
    <w:lvl w:ilvl="0">
      <w:start w:val="1"/>
      <w:numFmt w:val="decimal"/>
      <w:lvlText w:val="%1"/>
      <w:lvlJc w:val="left"/>
      <w:pPr>
        <w:ind w:left="3118" w:hanging="360"/>
      </w:pPr>
      <w:rPr>
        <w:rFonts w:hint="default"/>
      </w:rPr>
    </w:lvl>
    <w:lvl w:ilvl="1">
      <w:start w:val="1"/>
      <w:numFmt w:val="decimal"/>
      <w:lvlText w:val="%1.%2"/>
      <w:lvlJc w:val="left"/>
      <w:pPr>
        <w:ind w:left="3478" w:hanging="360"/>
      </w:pPr>
      <w:rPr>
        <w:rFonts w:hint="default"/>
      </w:rPr>
    </w:lvl>
    <w:lvl w:ilvl="2">
      <w:start w:val="1"/>
      <w:numFmt w:val="decimal"/>
      <w:lvlText w:val="%1.%2.%3"/>
      <w:lvlJc w:val="left"/>
      <w:pPr>
        <w:ind w:left="4198" w:hanging="720"/>
      </w:pPr>
      <w:rPr>
        <w:rFonts w:hint="default"/>
      </w:rPr>
    </w:lvl>
    <w:lvl w:ilvl="3">
      <w:start w:val="1"/>
      <w:numFmt w:val="decimal"/>
      <w:lvlText w:val="%1.%2.%3.%4"/>
      <w:lvlJc w:val="left"/>
      <w:pPr>
        <w:ind w:left="4918" w:hanging="1080"/>
      </w:pPr>
      <w:rPr>
        <w:rFonts w:hint="default"/>
      </w:rPr>
    </w:lvl>
    <w:lvl w:ilvl="4">
      <w:start w:val="1"/>
      <w:numFmt w:val="decimal"/>
      <w:lvlText w:val="%1.%2.%3.%4.%5"/>
      <w:lvlJc w:val="left"/>
      <w:pPr>
        <w:ind w:left="5278" w:hanging="1080"/>
      </w:pPr>
      <w:rPr>
        <w:rFonts w:hint="default"/>
      </w:rPr>
    </w:lvl>
    <w:lvl w:ilvl="5">
      <w:start w:val="1"/>
      <w:numFmt w:val="decimal"/>
      <w:lvlText w:val="%1.%2.%3.%4.%5.%6"/>
      <w:lvlJc w:val="left"/>
      <w:pPr>
        <w:ind w:left="5998" w:hanging="1440"/>
      </w:pPr>
      <w:rPr>
        <w:rFonts w:hint="default"/>
      </w:rPr>
    </w:lvl>
    <w:lvl w:ilvl="6">
      <w:start w:val="1"/>
      <w:numFmt w:val="decimal"/>
      <w:lvlText w:val="%1.%2.%3.%4.%5.%6.%7"/>
      <w:lvlJc w:val="left"/>
      <w:pPr>
        <w:ind w:left="6358" w:hanging="1440"/>
      </w:pPr>
      <w:rPr>
        <w:rFonts w:hint="default"/>
      </w:rPr>
    </w:lvl>
    <w:lvl w:ilvl="7">
      <w:start w:val="1"/>
      <w:numFmt w:val="decimal"/>
      <w:lvlText w:val="%1.%2.%3.%4.%5.%6.%7.%8"/>
      <w:lvlJc w:val="left"/>
      <w:pPr>
        <w:ind w:left="7078" w:hanging="1800"/>
      </w:pPr>
      <w:rPr>
        <w:rFonts w:hint="default"/>
      </w:rPr>
    </w:lvl>
    <w:lvl w:ilvl="8">
      <w:start w:val="1"/>
      <w:numFmt w:val="decimal"/>
      <w:lvlText w:val="%1.%2.%3.%4.%5.%6.%7.%8.%9"/>
      <w:lvlJc w:val="left"/>
      <w:pPr>
        <w:ind w:left="7438" w:hanging="1800"/>
      </w:pPr>
      <w:rPr>
        <w:rFonts w:hint="default"/>
      </w:rPr>
    </w:lvl>
  </w:abstractNum>
  <w:abstractNum w:abstractNumId="2" w15:restartNumberingAfterBreak="0">
    <w:nsid w:val="5B133D6B"/>
    <w:multiLevelType w:val="hybridMultilevel"/>
    <w:tmpl w:val="873C98FC"/>
    <w:lvl w:ilvl="0" w:tplc="1C09000F">
      <w:start w:val="5"/>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C2A7B00"/>
    <w:multiLevelType w:val="hybridMultilevel"/>
    <w:tmpl w:val="809E9C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46301787">
    <w:abstractNumId w:val="1"/>
  </w:num>
  <w:num w:numId="2" w16cid:durableId="2006273981">
    <w:abstractNumId w:val="3"/>
  </w:num>
  <w:num w:numId="3" w16cid:durableId="998997767">
    <w:abstractNumId w:val="0"/>
  </w:num>
  <w:num w:numId="4" w16cid:durableId="1228299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E8"/>
    <w:rsid w:val="000A1B17"/>
    <w:rsid w:val="000A582D"/>
    <w:rsid w:val="00186401"/>
    <w:rsid w:val="002467C1"/>
    <w:rsid w:val="002613FC"/>
    <w:rsid w:val="002643E2"/>
    <w:rsid w:val="003B6AD3"/>
    <w:rsid w:val="003F726A"/>
    <w:rsid w:val="00415FD6"/>
    <w:rsid w:val="004935F3"/>
    <w:rsid w:val="004B7D8F"/>
    <w:rsid w:val="005B6280"/>
    <w:rsid w:val="00662342"/>
    <w:rsid w:val="0066769D"/>
    <w:rsid w:val="006D6ADB"/>
    <w:rsid w:val="00730BE8"/>
    <w:rsid w:val="00A376DB"/>
    <w:rsid w:val="00A675A0"/>
    <w:rsid w:val="00B10DF0"/>
    <w:rsid w:val="00B23159"/>
    <w:rsid w:val="00C457E4"/>
    <w:rsid w:val="00C51383"/>
    <w:rsid w:val="00C90C1D"/>
    <w:rsid w:val="00D11483"/>
    <w:rsid w:val="00D849DA"/>
    <w:rsid w:val="00D86105"/>
    <w:rsid w:val="00D87A00"/>
    <w:rsid w:val="00DE6C88"/>
    <w:rsid w:val="00DF2D63"/>
    <w:rsid w:val="00EC07DE"/>
    <w:rsid w:val="00EC6897"/>
    <w:rsid w:val="00F24DA1"/>
    <w:rsid w:val="00F46FCC"/>
    <w:rsid w:val="00FE408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E7202"/>
  <w15:chartTrackingRefBased/>
  <w15:docId w15:val="{F659DAC3-3122-47C2-9D88-21865D4D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0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0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30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30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30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0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0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0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30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30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30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BE8"/>
    <w:rPr>
      <w:rFonts w:eastAsiaTheme="majorEastAsia" w:cstheme="majorBidi"/>
      <w:color w:val="272727" w:themeColor="text1" w:themeTint="D8"/>
    </w:rPr>
  </w:style>
  <w:style w:type="paragraph" w:styleId="Title">
    <w:name w:val="Title"/>
    <w:basedOn w:val="Normal"/>
    <w:next w:val="Normal"/>
    <w:link w:val="TitleChar"/>
    <w:uiPriority w:val="10"/>
    <w:qFormat/>
    <w:rsid w:val="00730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BE8"/>
    <w:pPr>
      <w:spacing w:before="160"/>
      <w:jc w:val="center"/>
    </w:pPr>
    <w:rPr>
      <w:i/>
      <w:iCs/>
      <w:color w:val="404040" w:themeColor="text1" w:themeTint="BF"/>
    </w:rPr>
  </w:style>
  <w:style w:type="character" w:customStyle="1" w:styleId="QuoteChar">
    <w:name w:val="Quote Char"/>
    <w:basedOn w:val="DefaultParagraphFont"/>
    <w:link w:val="Quote"/>
    <w:uiPriority w:val="29"/>
    <w:rsid w:val="00730BE8"/>
    <w:rPr>
      <w:i/>
      <w:iCs/>
      <w:color w:val="404040" w:themeColor="text1" w:themeTint="BF"/>
    </w:rPr>
  </w:style>
  <w:style w:type="paragraph" w:styleId="ListParagraph">
    <w:name w:val="List Paragraph"/>
    <w:basedOn w:val="Normal"/>
    <w:uiPriority w:val="34"/>
    <w:qFormat/>
    <w:rsid w:val="00730BE8"/>
    <w:pPr>
      <w:ind w:left="720"/>
      <w:contextualSpacing/>
    </w:pPr>
  </w:style>
  <w:style w:type="character" w:styleId="IntenseEmphasis">
    <w:name w:val="Intense Emphasis"/>
    <w:basedOn w:val="DefaultParagraphFont"/>
    <w:uiPriority w:val="21"/>
    <w:qFormat/>
    <w:rsid w:val="00730BE8"/>
    <w:rPr>
      <w:i/>
      <w:iCs/>
      <w:color w:val="0F4761" w:themeColor="accent1" w:themeShade="BF"/>
    </w:rPr>
  </w:style>
  <w:style w:type="paragraph" w:styleId="IntenseQuote">
    <w:name w:val="Intense Quote"/>
    <w:basedOn w:val="Normal"/>
    <w:next w:val="Normal"/>
    <w:link w:val="IntenseQuoteChar"/>
    <w:uiPriority w:val="30"/>
    <w:qFormat/>
    <w:rsid w:val="00730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BE8"/>
    <w:rPr>
      <w:i/>
      <w:iCs/>
      <w:color w:val="0F4761" w:themeColor="accent1" w:themeShade="BF"/>
    </w:rPr>
  </w:style>
  <w:style w:type="character" w:styleId="IntenseReference">
    <w:name w:val="Intense Reference"/>
    <w:basedOn w:val="DefaultParagraphFont"/>
    <w:uiPriority w:val="32"/>
    <w:qFormat/>
    <w:rsid w:val="00730BE8"/>
    <w:rPr>
      <w:b/>
      <w:bCs/>
      <w:smallCaps/>
      <w:color w:val="0F4761" w:themeColor="accent1" w:themeShade="BF"/>
      <w:spacing w:val="5"/>
    </w:rPr>
  </w:style>
  <w:style w:type="table" w:styleId="TableGrid">
    <w:name w:val="Table Grid"/>
    <w:basedOn w:val="TableNormal"/>
    <w:uiPriority w:val="39"/>
    <w:rsid w:val="00730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730BE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4B7D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customStyle="1" w:styleId="GridTable4-Accent41">
    <w:name w:val="Grid Table 4 - Accent 41"/>
    <w:basedOn w:val="TableNormal"/>
    <w:next w:val="GridTable4-Accent4"/>
    <w:uiPriority w:val="49"/>
    <w:rsid w:val="00D87A00"/>
    <w:pPr>
      <w:spacing w:after="0" w:line="240" w:lineRule="auto"/>
    </w:pPr>
    <w:rPr>
      <w:rFonts w:ascii="Aptos" w:eastAsia="Aptos" w:hAnsi="Aptos" w:cs="Arial"/>
    </w:rPr>
    <w:tblPr>
      <w:tblStyleRowBandSize w:val="1"/>
      <w:tblStyleColBandSize w:val="1"/>
      <w:tblInd w:w="0" w:type="nil"/>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5Dark-Accent41">
    <w:name w:val="Grid Table 5 Dark - Accent 41"/>
    <w:basedOn w:val="TableNormal"/>
    <w:next w:val="GridTable5Dark-Accent4"/>
    <w:uiPriority w:val="50"/>
    <w:rsid w:val="00D87A00"/>
    <w:pPr>
      <w:spacing w:after="0" w:line="240" w:lineRule="auto"/>
    </w:pPr>
    <w:rPr>
      <w:rFonts w:ascii="Aptos" w:eastAsia="Aptos" w:hAnsi="Aptos" w:cs="Ari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TOCHeading">
    <w:name w:val="TOC Heading"/>
    <w:basedOn w:val="Heading1"/>
    <w:next w:val="Normal"/>
    <w:uiPriority w:val="39"/>
    <w:unhideWhenUsed/>
    <w:qFormat/>
    <w:rsid w:val="003B6AD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6AD3"/>
    <w:pPr>
      <w:spacing w:after="100"/>
    </w:pPr>
  </w:style>
  <w:style w:type="paragraph" w:styleId="TOC2">
    <w:name w:val="toc 2"/>
    <w:basedOn w:val="Normal"/>
    <w:next w:val="Normal"/>
    <w:autoRedefine/>
    <w:uiPriority w:val="39"/>
    <w:unhideWhenUsed/>
    <w:rsid w:val="003B6AD3"/>
    <w:pPr>
      <w:spacing w:after="100"/>
      <w:ind w:left="240"/>
    </w:pPr>
  </w:style>
  <w:style w:type="paragraph" w:styleId="TOC3">
    <w:name w:val="toc 3"/>
    <w:basedOn w:val="Normal"/>
    <w:next w:val="Normal"/>
    <w:autoRedefine/>
    <w:uiPriority w:val="39"/>
    <w:unhideWhenUsed/>
    <w:rsid w:val="003B6AD3"/>
    <w:pPr>
      <w:spacing w:after="100"/>
      <w:ind w:left="480"/>
    </w:pPr>
  </w:style>
  <w:style w:type="character" w:styleId="Hyperlink">
    <w:name w:val="Hyperlink"/>
    <w:basedOn w:val="DefaultParagraphFont"/>
    <w:uiPriority w:val="99"/>
    <w:unhideWhenUsed/>
    <w:rsid w:val="003B6AD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corpfin.2008.10.004" TargetMode="External"/><Relationship Id="rId13" Type="http://schemas.openxmlformats.org/officeDocument/2006/relationships/hyperlink" Target="https://www.proquest.com/openview/93df0d1120a9f95305e8cabf119ddb6d/1?cbl=326309&amp;pq-origsite=gscholar" TargetMode="External"/><Relationship Id="rId18" Type="http://schemas.openxmlformats.org/officeDocument/2006/relationships/hyperlink" Target="https://www.shopriteholdings.co.za/shareholders-investors.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oi.org/10.1016/j.jretconser.2015.03.002" TargetMode="External"/><Relationship Id="rId12" Type="http://schemas.openxmlformats.org/officeDocument/2006/relationships/hyperlink" Target="https://za.investing.com/equities/shoprite-holdings-ltd-(j)-historical-data" TargetMode="External"/><Relationship Id="rId17" Type="http://schemas.openxmlformats.org/officeDocument/2006/relationships/hyperlink" Target="https://doi.org/10.4102/jef.v16i1.864" TargetMode="External"/><Relationship Id="rId2" Type="http://schemas.openxmlformats.org/officeDocument/2006/relationships/numbering" Target="numbering.xml"/><Relationship Id="rId16" Type="http://schemas.openxmlformats.org/officeDocument/2006/relationships/hyperlink" Target="https://www.blueoceanstrategyaustralia.com.au/wp-content/uploads/2023/08/HBRs-10-Must-Reads-on-Strategy.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i.org/10.4102/jef.v16i1.864" TargetMode="External"/><Relationship Id="rId5" Type="http://schemas.openxmlformats.org/officeDocument/2006/relationships/webSettings" Target="webSettings.xml"/><Relationship Id="rId15" Type="http://schemas.openxmlformats.org/officeDocument/2006/relationships/hyperlink" Target="https://doi.org/10.1080/17441692.2020.1712449" TargetMode="External"/><Relationship Id="rId10" Type="http://schemas.openxmlformats.org/officeDocument/2006/relationships/hyperlink" Target="https://doi.org/10.1108/CR-06-2013-0059" TargetMode="External"/><Relationship Id="rId19" Type="http://schemas.openxmlformats.org/officeDocument/2006/relationships/hyperlink" Target="http://hdl.handle.net/11427/11058" TargetMode="External"/><Relationship Id="rId4" Type="http://schemas.openxmlformats.org/officeDocument/2006/relationships/settings" Target="settings.xml"/><Relationship Id="rId9" Type="http://schemas.openxmlformats.org/officeDocument/2006/relationships/hyperlink" Target="https://doi.org/10.1080/0376835X.2017.1390440" TargetMode="External"/><Relationship Id="rId14" Type="http://schemas.openxmlformats.org/officeDocument/2006/relationships/hyperlink" Target="https://link.springer.com/article/10.1186/s13731-023-003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79B60-1A91-4FF7-B612-29D646198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31</Pages>
  <Words>6393</Words>
  <Characters>41113</Characters>
  <Application>Microsoft Office Word</Application>
  <DocSecurity>0</DocSecurity>
  <Lines>913</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Maake, Glenda, (Miss) (s230053459)</dc:creator>
  <cp:keywords/>
  <dc:description/>
  <cp:lastModifiedBy>Dyosiba, Zakhele, (Mr) (s221415351)</cp:lastModifiedBy>
  <cp:revision>4</cp:revision>
  <cp:lastPrinted>2025-10-15T12:15:00Z</cp:lastPrinted>
  <dcterms:created xsi:type="dcterms:W3CDTF">2025-10-15T12:02:00Z</dcterms:created>
  <dcterms:modified xsi:type="dcterms:W3CDTF">2025-10-15T16:17:00Z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0e68e497-daeb-462e-8e25-11b2a5e28359</vt:lpwstr>
  </property>
</Properties>
</file>