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D40B" w14:textId="77777777"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Preliminary Report: Financial Analysis and Risk Assessment of Green Solutions Manufacturing Ltd.</w:t>
      </w:r>
    </w:p>
    <w:p w14:paraId="53D18722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Executive Summary</w:t>
      </w:r>
    </w:p>
    <w:p w14:paraId="2839F4BA" w14:textId="1ED6C9B5" w:rsidR="00DD4CA6" w:rsidRPr="008F34F5" w:rsidRDefault="001958AF" w:rsidP="001958A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The company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 showed strong growth (revenue +71%) and dramatically improved profitability (EBITDA margin doubled). However, this came with tighter cash flow and lower liquidity.</w:t>
      </w:r>
    </w:p>
    <w:p w14:paraId="526E4116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Financial Analysis</w:t>
      </w:r>
    </w:p>
    <w:p w14:paraId="6AC3C7B3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Revenue and Profitability</w:t>
      </w:r>
    </w:p>
    <w:p w14:paraId="73D10EA4" w14:textId="7FDEDE90" w:rsidR="008F34F5" w:rsidRPr="008F34F5" w:rsidRDefault="001958AF" w:rsidP="001958A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 Exceptional growth with margins doubling. Strong operational turnaround.</w:t>
      </w:r>
    </w:p>
    <w:p w14:paraId="362BAA02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Assets and Liabilities</w:t>
      </w:r>
    </w:p>
    <w:p w14:paraId="4425CF17" w14:textId="58538944" w:rsidR="008F34F5" w:rsidRPr="008F34F5" w:rsidRDefault="001958AF" w:rsidP="001958A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Balance sheet expanded for growth (PP&amp;E +50%). Debt 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was 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reduced, but cash reserves were used to help fund this.</w:t>
      </w:r>
    </w:p>
    <w:p w14:paraId="79868051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Cash Flow</w:t>
      </w:r>
    </w:p>
    <w:p w14:paraId="37F590E6" w14:textId="40B3B35B" w:rsidR="008F34F5" w:rsidRPr="008F34F5" w:rsidRDefault="001958AF" w:rsidP="001958A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Operating cash flow improved but was still insufficient to cover heavy investment (</w:t>
      </w:r>
      <w:proofErr w:type="spellStart"/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CapEx</w:t>
      </w:r>
      <w:proofErr w:type="spellEnd"/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), leading to negative free cash flow.</w:t>
      </w:r>
    </w:p>
    <w:p w14:paraId="62C48991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Key Financial Ratios</w:t>
      </w:r>
    </w:p>
    <w:p w14:paraId="28DE5A7E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Profitability Ratios</w:t>
      </w:r>
    </w:p>
    <w:p w14:paraId="75424CF1" w14:textId="048755C4" w:rsidR="008F34F5" w:rsidRPr="008F34F5" w:rsidRDefault="001958AF" w:rsidP="001958A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Excellent improvement (EBITDA Margin: 4.7% → 10.3%)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.</w:t>
      </w:r>
    </w:p>
    <w:p w14:paraId="0B8EAA19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and Liquidity Ratios</w:t>
      </w:r>
    </w:p>
    <w:p w14:paraId="7B202DF6" w14:textId="19E751B6" w:rsidR="008F34F5" w:rsidRPr="008F34F5" w:rsidRDefault="001958AF" w:rsidP="001958A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 Solvency 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is 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much stronger (Interest Cover 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increased from 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2.08x 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to 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17.53x), but short-term liquidity weakened (Current Ratio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 decreased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 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from 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1.88 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to 1.38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)</w:t>
      </w:r>
      <w:r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.</w:t>
      </w:r>
    </w:p>
    <w:p w14:paraId="1C902F01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Risk Assessment</w:t>
      </w:r>
    </w:p>
    <w:p w14:paraId="6267FDEC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Key Financial Risks</w:t>
      </w:r>
    </w:p>
    <w:p w14:paraId="54CC6582" w14:textId="1347FD65" w:rsidR="001958AF" w:rsidRPr="001958AF" w:rsidRDefault="001958AF" w:rsidP="001958A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val="en-ZA" w:eastAsia="en-GB"/>
        </w:rPr>
      </w:pPr>
      <w:r w:rsidRPr="001958AF">
        <w:rPr>
          <w:rFonts w:ascii="Segoe UI" w:eastAsia="Times New Roman" w:hAnsi="Segoe UI" w:cs="Segoe UI"/>
          <w:b/>
          <w:bCs/>
          <w:color w:val="FF0000"/>
          <w:sz w:val="20"/>
          <w:szCs w:val="24"/>
          <w:lang w:val="en-ZA" w:eastAsia="en-GB"/>
        </w:rPr>
        <w:t>Liquidity Risk: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val="en-ZA" w:eastAsia="en-GB"/>
        </w:rPr>
        <w:t> Declining Current Ratio signals pressure on short-term obligations.</w:t>
      </w:r>
      <w:r>
        <w:rPr>
          <w:rFonts w:ascii="Segoe UI" w:eastAsia="Times New Roman" w:hAnsi="Segoe UI" w:cs="Segoe UI"/>
          <w:color w:val="FF0000"/>
          <w:sz w:val="20"/>
          <w:szCs w:val="24"/>
          <w:lang w:val="en-ZA" w:eastAsia="en-GB"/>
        </w:rPr>
        <w:t xml:space="preserve"> </w:t>
      </w:r>
      <w:r w:rsidRPr="001958AF">
        <w:rPr>
          <w:rFonts w:ascii="Segoe UI" w:eastAsia="Times New Roman" w:hAnsi="Segoe UI" w:cs="Segoe UI"/>
          <w:b/>
          <w:bCs/>
          <w:color w:val="FF0000"/>
          <w:sz w:val="20"/>
          <w:szCs w:val="24"/>
          <w:lang w:val="en-ZA" w:eastAsia="en-GB"/>
        </w:rPr>
        <w:t>Funding Risk: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val="en-ZA" w:eastAsia="en-GB"/>
        </w:rPr>
        <w:t> Negative free cash flow means the company still depends on external financing (debt/equity) to fund its growth and investments.</w:t>
      </w:r>
    </w:p>
    <w:p w14:paraId="4A85284A" w14:textId="513F7466" w:rsidR="008F34F5" w:rsidRPr="001958AF" w:rsidRDefault="008F34F5" w:rsidP="008F34F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val="en-ZA" w:eastAsia="en-GB"/>
        </w:rPr>
      </w:pPr>
    </w:p>
    <w:p w14:paraId="079AC923" w14:textId="77777777" w:rsidR="001958AF" w:rsidRDefault="00DD4CA6" w:rsidP="001958A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Actionable Insights</w:t>
      </w:r>
    </w:p>
    <w:p w14:paraId="00165E58" w14:textId="6E81E0D2" w:rsidR="001958AF" w:rsidRPr="001958AF" w:rsidRDefault="001958AF" w:rsidP="001958A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1958AF">
        <w:rPr>
          <w:rFonts w:ascii="Segoe UI" w:eastAsia="Times New Roman" w:hAnsi="Segoe UI" w:cs="Segoe UI"/>
          <w:color w:val="FF0000"/>
          <w:sz w:val="20"/>
          <w:szCs w:val="24"/>
          <w:lang w:val="en-ZA" w:eastAsia="en-GB"/>
        </w:rPr>
        <w:t>Priority #1 is converting profits into cash. Tighten control of inventory, receivables, and payables.</w:t>
      </w:r>
      <w:r>
        <w:rPr>
          <w:rFonts w:ascii="Segoe UI" w:eastAsia="Times New Roman" w:hAnsi="Segoe UI" w:cs="Segoe UI"/>
          <w:color w:val="FF0000"/>
          <w:sz w:val="20"/>
          <w:szCs w:val="24"/>
          <w:lang w:val="en-ZA" w:eastAsia="en-GB"/>
        </w:rPr>
        <w:t xml:space="preserve"> Stabilise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val="en-ZA" w:eastAsia="en-GB"/>
        </w:rPr>
        <w:t xml:space="preserve"> the Current Ratio. Consider a credit facility for a safety net.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val="en-ZA" w:eastAsia="en-GB"/>
        </w:rPr>
        <w:t xml:space="preserve"> 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val="en-ZA" w:eastAsia="en-GB"/>
        </w:rPr>
        <w:t>Stress-test finances against a potential sales slowdown to ensure resilience</w:t>
      </w:r>
    </w:p>
    <w:p w14:paraId="2C694208" w14:textId="0EFEC3B0" w:rsidR="008F34F5" w:rsidRPr="001958AF" w:rsidRDefault="008F34F5" w:rsidP="008F34F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val="en-ZA" w:eastAsia="en-GB"/>
        </w:rPr>
      </w:pPr>
    </w:p>
    <w:p w14:paraId="5D16FB5B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Conclusion</w:t>
      </w:r>
    </w:p>
    <w:p w14:paraId="55B5B2B7" w14:textId="4DE281F5" w:rsidR="008F34F5" w:rsidRPr="008F34F5" w:rsidRDefault="001958AF" w:rsidP="001958A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</w:pP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Successful profitability and debt 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turnaround but</w:t>
      </w:r>
      <w:r w:rsidRPr="001958A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 xml:space="preserve"> now must solve the cash flow problem. The company is more profitable but not yet self-funding.</w:t>
      </w:r>
    </w:p>
    <w:p w14:paraId="3695FC75" w14:textId="77777777" w:rsidR="00DD4CA6" w:rsidRPr="00DD4CA6" w:rsidRDefault="00000000" w:rsidP="00DD4CA6">
      <w:pPr>
        <w:spacing w:after="0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>
        <w:rPr>
          <w:rFonts w:ascii="Segoe UI" w:eastAsia="Times New Roman" w:hAnsi="Segoe UI" w:cs="Segoe UI"/>
          <w:sz w:val="20"/>
          <w:szCs w:val="24"/>
          <w:lang w:eastAsia="en-GB"/>
        </w:rPr>
        <w:pict w14:anchorId="13B7C98C">
          <v:rect id="_x0000_i1025" style="width:0;height:1.5pt" o:hralign="center" o:hrstd="t" o:hr="t" fillcolor="#a0a0a0" stroked="f"/>
        </w:pict>
      </w:r>
    </w:p>
    <w:p w14:paraId="3302F683" w14:textId="11DFF8AC"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hAnsi="Segoe UI" w:cs="Segoe UI"/>
          <w:sz w:val="18"/>
        </w:rPr>
      </w:pP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Prepared by: [</w:t>
      </w:r>
      <w:r w:rsidR="001958AF">
        <w:rPr>
          <w:rFonts w:ascii="Segoe UI" w:eastAsia="Times New Roman" w:hAnsi="Segoe UI" w:cs="Segoe UI"/>
          <w:sz w:val="20"/>
          <w:szCs w:val="24"/>
          <w:lang w:eastAsia="en-GB"/>
        </w:rPr>
        <w:t>Zakhele Dyosiba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]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>Position: Credit Analyst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>Standard Chartered Bank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 xml:space="preserve">Date: </w:t>
      </w:r>
      <w:r w:rsidR="001958AF">
        <w:rPr>
          <w:rFonts w:ascii="Segoe UI" w:eastAsia="Times New Roman" w:hAnsi="Segoe UI" w:cs="Segoe UI"/>
          <w:sz w:val="20"/>
          <w:szCs w:val="24"/>
          <w:lang w:eastAsia="en-GB"/>
        </w:rPr>
        <w:t>1</w:t>
      </w:r>
      <w:r w:rsidR="001958AF" w:rsidRPr="001958AF">
        <w:rPr>
          <w:rFonts w:ascii="Segoe UI" w:eastAsia="Times New Roman" w:hAnsi="Segoe UI" w:cs="Segoe UI"/>
          <w:sz w:val="20"/>
          <w:szCs w:val="24"/>
          <w:vertAlign w:val="superscript"/>
          <w:lang w:eastAsia="en-GB"/>
        </w:rPr>
        <w:t>st</w:t>
      </w:r>
      <w:r w:rsidR="001958AF">
        <w:rPr>
          <w:rFonts w:ascii="Segoe UI" w:eastAsia="Times New Roman" w:hAnsi="Segoe UI" w:cs="Segoe UI"/>
          <w:sz w:val="20"/>
          <w:szCs w:val="24"/>
          <w:lang w:eastAsia="en-GB"/>
        </w:rPr>
        <w:t xml:space="preserve"> December 2025</w:t>
      </w:r>
    </w:p>
    <w:sectPr w:rsidR="00DD4CA6" w:rsidRPr="00DD4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174"/>
    <w:multiLevelType w:val="multilevel"/>
    <w:tmpl w:val="A00E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83D9B"/>
    <w:multiLevelType w:val="multilevel"/>
    <w:tmpl w:val="2AE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23D7D"/>
    <w:multiLevelType w:val="multilevel"/>
    <w:tmpl w:val="38DE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E53EE"/>
    <w:multiLevelType w:val="multilevel"/>
    <w:tmpl w:val="49B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B2827"/>
    <w:multiLevelType w:val="multilevel"/>
    <w:tmpl w:val="4BF6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D2CBF"/>
    <w:multiLevelType w:val="multilevel"/>
    <w:tmpl w:val="A30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572E0"/>
    <w:multiLevelType w:val="multilevel"/>
    <w:tmpl w:val="79A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E7225"/>
    <w:multiLevelType w:val="multilevel"/>
    <w:tmpl w:val="81D0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B70177"/>
    <w:multiLevelType w:val="multilevel"/>
    <w:tmpl w:val="9E2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170754">
    <w:abstractNumId w:val="5"/>
  </w:num>
  <w:num w:numId="2" w16cid:durableId="460004236">
    <w:abstractNumId w:val="3"/>
  </w:num>
  <w:num w:numId="3" w16cid:durableId="249312900">
    <w:abstractNumId w:val="8"/>
  </w:num>
  <w:num w:numId="4" w16cid:durableId="1311442931">
    <w:abstractNumId w:val="6"/>
  </w:num>
  <w:num w:numId="5" w16cid:durableId="1174149023">
    <w:abstractNumId w:val="1"/>
  </w:num>
  <w:num w:numId="6" w16cid:durableId="398291261">
    <w:abstractNumId w:val="2"/>
  </w:num>
  <w:num w:numId="7" w16cid:durableId="287903698">
    <w:abstractNumId w:val="4"/>
  </w:num>
  <w:num w:numId="8" w16cid:durableId="1407605054">
    <w:abstractNumId w:val="7"/>
  </w:num>
  <w:num w:numId="9" w16cid:durableId="97028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M3NDQxNDQyMTY2MTRS0lEKTi0uzszPAykwrAUAECxosSwAAAA="/>
  </w:docVars>
  <w:rsids>
    <w:rsidRoot w:val="00DD4CA6"/>
    <w:rsid w:val="001958AF"/>
    <w:rsid w:val="007D2693"/>
    <w:rsid w:val="008F34F5"/>
    <w:rsid w:val="00DD4CA6"/>
    <w:rsid w:val="00FF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5B946"/>
  <w15:chartTrackingRefBased/>
  <w15:docId w15:val="{CD18D1E8-7FA4-44B7-8C41-10845C45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4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DD4C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C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D4CA6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D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D4CA6"/>
    <w:rPr>
      <w:b/>
      <w:bCs/>
    </w:rPr>
  </w:style>
  <w:style w:type="paragraph" w:styleId="ListParagraph">
    <w:name w:val="List Paragraph"/>
    <w:basedOn w:val="Normal"/>
    <w:uiPriority w:val="34"/>
    <w:qFormat/>
    <w:rsid w:val="008F3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Dyosiba, Zakhele, (Mr) (s221415351)</cp:lastModifiedBy>
  <cp:revision>2</cp:revision>
  <dcterms:created xsi:type="dcterms:W3CDTF">2024-07-29T06:53:00Z</dcterms:created>
  <dcterms:modified xsi:type="dcterms:W3CDTF">2025-12-01T15:01:00Z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9af9f2c1-61c4-4e68-8168-9b9071405bf9</vt:lpwstr>
  </property>
</Properties>
</file>