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rFonts w:ascii="Arial" w:cs="Arial" w:eastAsia="Arial" w:hAnsi="Arial"/>
          <w:b/>
          <w:bCs/>
          <w:color w:val="40916C"/>
          <w:spacing w:val="200"/>
          <w:sz w:val="20"/>
          <w:szCs w:val="20"/>
        </w:rPr>
        <w:t xml:space="preserve">CONCEPT NOTE</w:t>
      </w:r>
    </w:p>
    <w:p>
      <w:pPr>
        <w:spacing w:after="40" w:before="0"/>
        <w:jc w:val="center"/>
      </w:pPr>
      <w:r>
        <w:rPr>
          <w:rFonts w:ascii="Arial" w:cs="Arial" w:eastAsia="Arial" w:hAnsi="Arial"/>
          <w:b/>
          <w:bCs/>
          <w:color w:val="1A3C34"/>
          <w:sz w:val="64"/>
          <w:szCs w:val="64"/>
        </w:rPr>
        <w:t xml:space="preserve">Conservation Effectiveness</w:t>
      </w:r>
    </w:p>
    <w:p>
      <w:pPr>
        <w:spacing w:after="200" w:before="0"/>
        <w:jc w:val="center"/>
      </w:pPr>
      <w:r>
        <w:rPr>
          <w:rFonts w:ascii="Arial" w:cs="Arial" w:eastAsia="Arial" w:hAnsi="Arial"/>
          <w:b/>
          <w:bCs/>
          <w:color w:val="40916C"/>
          <w:sz w:val="64"/>
          <w:szCs w:val="64"/>
        </w:rPr>
        <w:t xml:space="preserve">Intelligence Platform</w:t>
      </w:r>
    </w:p>
    <w:p>
      <w:pPr>
        <w:spacing w:after="480" w:before="0"/>
        <w:jc w:val="center"/>
      </w:pPr>
      <w:r>
        <w:rPr>
          <w:rFonts w:ascii="Arial" w:cs="Arial" w:eastAsia="Arial" w:hAnsi="Arial"/>
          <w:i/>
          <w:iCs/>
          <w:color w:val="6C757D"/>
          <w:sz w:val="26"/>
          <w:szCs w:val="26"/>
        </w:rPr>
        <w:t xml:space="preserve">An AI-powered living evidence service for global conservation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5EE" w:val="clear"/>
            <w:tcMar>
              <w:top w:type="dxa" w:w="80"/>
              <w:left w:type="dxa" w:w="160"/>
              <w:bottom w:type="dxa" w:w="80"/>
              <w:right w:type="dxa" w:w="120"/>
            </w:tcMar>
          </w:tcPr>
          <w:p>
            <w:pPr>
              <w:spacing w:after="0" w:before="0"/>
            </w:pPr>
            <w:r>
              <w:rPr>
                <w:rFonts w:ascii="Arial" w:cs="Arial" w:eastAsia="Arial" w:hAnsi="Arial"/>
                <w:b/>
                <w:bCs/>
                <w:color w:val="1A3C34"/>
                <w:sz w:val="20"/>
                <w:szCs w:val="20"/>
              </w:rPr>
              <w:t xml:space="preserve">Platform Name</w:t>
            </w:r>
          </w:p>
        </w:tc>
        <w:tc>
          <w:tcPr>
            <w:tcW w:type="dxa" w:w="6560"/>
            <w:tcBorders>
              <w:top w:val="single" w:color="CCCCCC" w:sz="1"/>
              <w:left w:val="single" w:color="CCCCCC" w:sz="1"/>
              <w:bottom w:val="single" w:color="CCCCCC" w:sz="1"/>
              <w:right w:val="single" w:color="CCCCCC" w:sz="1"/>
            </w:tcBorders>
            <w:shd w:fill="EAF5EE" w:val="clear"/>
            <w:tcMar>
              <w:top w:type="dxa" w:w="80"/>
              <w:left w:type="dxa" w:w="160"/>
              <w:bottom w:type="dxa" w:w="80"/>
              <w:right w:type="dxa" w:w="120"/>
            </w:tcMar>
          </w:tcPr>
          <w:p>
            <w:pPr>
              <w:spacing w:after="0" w:before="0"/>
            </w:pPr>
            <w:r>
              <w:rPr>
                <w:rFonts w:ascii="Arial" w:cs="Arial" w:eastAsia="Arial" w:hAnsi="Arial"/>
                <w:color w:val="000000"/>
                <w:sz w:val="20"/>
                <w:szCs w:val="20"/>
              </w:rPr>
              <w:t xml:space="preserve">Conservation Effectiveness Intelligence Platform (CEIP)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color w:val="000000"/>
                <w:sz w:val="20"/>
                <w:szCs w:val="20"/>
              </w:rPr>
              <w:t xml:space="preserve">Concept Note — Confidential Draft</w:t>
            </w:r>
          </w:p>
        </w:tc>
      </w:tr>
      <w:tr>
        <w:tc>
          <w:tcPr>
            <w:tcW w:type="dxa" w:w="2800"/>
            <w:tcBorders>
              <w:top w:val="single" w:color="CCCCCC" w:sz="1"/>
              <w:left w:val="single" w:color="CCCCCC" w:sz="1"/>
              <w:bottom w:val="single" w:color="CCCCCC" w:sz="1"/>
              <w:right w:val="single" w:color="CCCCCC" w:sz="1"/>
            </w:tcBorders>
            <w:shd w:fill="EAF5EE" w:val="clear"/>
            <w:tcMar>
              <w:top w:type="dxa" w:w="80"/>
              <w:left w:type="dxa" w:w="160"/>
              <w:bottom w:type="dxa" w:w="80"/>
              <w:right w:type="dxa" w:w="120"/>
            </w:tcMar>
          </w:tcPr>
          <w:p>
            <w:pPr>
              <w:spacing w:after="0" w:before="0"/>
            </w:pPr>
            <w:r>
              <w:rPr>
                <w:rFonts w:ascii="Arial" w:cs="Arial" w:eastAsia="Arial" w:hAnsi="Arial"/>
                <w:b/>
                <w:bCs/>
                <w:color w:val="1A3C34"/>
                <w:sz w:val="20"/>
                <w:szCs w:val="20"/>
              </w:rPr>
              <w:t xml:space="preserve">Version</w:t>
            </w:r>
          </w:p>
        </w:tc>
        <w:tc>
          <w:tcPr>
            <w:tcW w:type="dxa" w:w="6560"/>
            <w:tcBorders>
              <w:top w:val="single" w:color="CCCCCC" w:sz="1"/>
              <w:left w:val="single" w:color="CCCCCC" w:sz="1"/>
              <w:bottom w:val="single" w:color="CCCCCC" w:sz="1"/>
              <w:right w:val="single" w:color="CCCCCC" w:sz="1"/>
            </w:tcBorders>
            <w:shd w:fill="EAF5EE" w:val="clear"/>
            <w:tcMar>
              <w:top w:type="dxa" w:w="80"/>
              <w:left w:type="dxa" w:w="160"/>
              <w:bottom w:type="dxa" w:w="80"/>
              <w:right w:type="dxa" w:w="120"/>
            </w:tcMar>
          </w:tcPr>
          <w:p>
            <w:pPr>
              <w:spacing w:after="0" w:before="0"/>
            </w:pPr>
            <w:r>
              <w:rPr>
                <w:rFonts w:ascii="Arial" w:cs="Arial" w:eastAsia="Arial" w:hAnsi="Arial"/>
                <w:color w:val="000000"/>
                <w:sz w:val="20"/>
                <w:szCs w:val="20"/>
              </w:rPr>
              <w:t xml:space="preserve">1.0 — 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color w:val="000000"/>
                <w:sz w:val="20"/>
                <w:szCs w:val="20"/>
              </w:rPr>
              <w:t xml:space="preserve">Pre-development — seeking partnerships and grant funding</w:t>
            </w:r>
          </w:p>
        </w:tc>
      </w:tr>
      <w:tr>
        <w:tc>
          <w:tcPr>
            <w:tcW w:type="dxa" w:w="2800"/>
            <w:tcBorders>
              <w:top w:val="single" w:color="CCCCCC" w:sz="1"/>
              <w:left w:val="single" w:color="CCCCCC" w:sz="1"/>
              <w:bottom w:val="single" w:color="CCCCCC" w:sz="1"/>
              <w:right w:val="single" w:color="CCCCCC" w:sz="1"/>
            </w:tcBorders>
            <w:shd w:fill="EAF5EE" w:val="clear"/>
            <w:tcMar>
              <w:top w:type="dxa" w:w="80"/>
              <w:left w:type="dxa" w:w="160"/>
              <w:bottom w:type="dxa" w:w="80"/>
              <w:right w:type="dxa" w:w="120"/>
            </w:tcMar>
          </w:tcPr>
          <w:p>
            <w:pPr>
              <w:spacing w:after="0" w:before="0"/>
            </w:pPr>
            <w:r>
              <w:rPr>
                <w:rFonts w:ascii="Arial" w:cs="Arial" w:eastAsia="Arial" w:hAnsi="Arial"/>
                <w:b/>
                <w:bCs/>
                <w:color w:val="1A3C34"/>
                <w:sz w:val="20"/>
                <w:szCs w:val="20"/>
              </w:rPr>
              <w:t xml:space="preserve">Prepared by</w:t>
            </w:r>
          </w:p>
        </w:tc>
        <w:tc>
          <w:tcPr>
            <w:tcW w:type="dxa" w:w="6560"/>
            <w:tcBorders>
              <w:top w:val="single" w:color="CCCCCC" w:sz="1"/>
              <w:left w:val="single" w:color="CCCCCC" w:sz="1"/>
              <w:bottom w:val="single" w:color="CCCCCC" w:sz="1"/>
              <w:right w:val="single" w:color="CCCCCC" w:sz="1"/>
            </w:tcBorders>
            <w:shd w:fill="EAF5EE" w:val="clear"/>
            <w:tcMar>
              <w:top w:type="dxa" w:w="80"/>
              <w:left w:type="dxa" w:w="160"/>
              <w:bottom w:type="dxa" w:w="80"/>
              <w:right w:type="dxa" w:w="120"/>
            </w:tcMar>
          </w:tcPr>
          <w:p>
            <w:pPr>
              <w:spacing w:after="0" w:before="0"/>
            </w:pPr>
            <w:r>
              <w:rPr>
                <w:rFonts w:ascii="Arial" w:cs="Arial" w:eastAsia="Arial" w:hAnsi="Arial"/>
                <w:color w:val="000000"/>
                <w:sz w:val="20"/>
                <w:szCs w:val="20"/>
              </w:rPr>
              <w:t xml:space="preserve">Platform Founder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color w:val="000000"/>
                <w:sz w:val="20"/>
                <w:szCs w:val="20"/>
              </w:rPr>
              <w:t xml:space="preserve">[your email here]</w:t>
            </w:r>
          </w:p>
        </w:tc>
      </w:tr>
    </w:tbl>
    <w:p>
      <w:pPr>
        <w:spacing w:after="40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1.  Executive Summary</w:t>
      </w:r>
    </w:p>
    <w:p>
      <w:pPr>
        <w:spacing w:after="120" w:before="120" w:line="276"/>
        <w:jc w:val="left"/>
      </w:pPr>
      <w:r>
        <w:rPr>
          <w:rFonts w:ascii="Arial" w:cs="Arial" w:eastAsia="Arial" w:hAnsi="Arial"/>
          <w:b w:val="false"/>
          <w:bCs w:val="false"/>
          <w:i w:val="false"/>
          <w:iCs w:val="false"/>
          <w:color w:val="000000"/>
          <w:sz w:val="22"/>
          <w:szCs w:val="22"/>
        </w:rPr>
        <w:t xml:space="preserve">The global conservation community faces a crisis of evidence. Practitioners on the ground — from wildlife rangers in Kenya to marine biologists in Indonesia — make intervention decisions daily that determine species survival, yet most have no reliable way to know </w:t>
      </w:r>
      <w:r>
        <w:rPr>
          <w:rFonts w:ascii="Arial" w:cs="Arial" w:eastAsia="Arial" w:hAnsi="Arial"/>
          <w:b/>
          <w:bCs/>
          <w:i w:val="false"/>
          <w:iCs w:val="false"/>
          <w:color w:val="000000"/>
          <w:sz w:val="22"/>
          <w:szCs w:val="22"/>
        </w:rPr>
        <w:t xml:space="preserve">what actually works</w:t>
      </w:r>
      <w:r>
        <w:rPr>
          <w:rFonts w:ascii="Arial" w:cs="Arial" w:eastAsia="Arial" w:hAnsi="Arial"/>
          <w:b w:val="false"/>
          <w:bCs w:val="false"/>
          <w:i w:val="false"/>
          <w:iCs w:val="false"/>
          <w:color w:val="000000"/>
          <w:sz w:val="22"/>
          <w:szCs w:val="22"/>
        </w:rPr>
        <w:t xml:space="preserve">. Published conservation science is fragmented across hundreds of journals, locked behind paywalls, synthesised slowly by understaffed academic teams, and never updated in real time. The result: billions of dollars in conservation funding are spent each year on interventions that range from highly effective to entirely unevidenced, with no systematic way to tell the difference.</w:t>
      </w:r>
    </w:p>
    <w:p>
      <w:pPr>
        <w:spacing w:after="80" w:before="0"/>
      </w:pPr>
      <w:r>
        <w:t xml:space="preserve"/>
      </w:r>
    </w:p>
    <w:p>
      <w:pPr>
        <w:spacing w:after="120" w:before="120" w:line="276"/>
        <w:jc w:val="left"/>
      </w:pPr>
      <w:r>
        <w:rPr>
          <w:rFonts w:ascii="Arial" w:cs="Arial" w:eastAsia="Arial" w:hAnsi="Arial"/>
          <w:b w:val="false"/>
          <w:bCs w:val="false"/>
          <w:i w:val="false"/>
          <w:iCs w:val="false"/>
          <w:color w:val="000000"/>
          <w:sz w:val="22"/>
          <w:szCs w:val="22"/>
        </w:rPr>
        <w:t xml:space="preserve">The </w:t>
      </w:r>
      <w:r>
        <w:rPr>
          <w:rFonts w:ascii="Arial" w:cs="Arial" w:eastAsia="Arial" w:hAnsi="Arial"/>
          <w:b/>
          <w:bCs/>
          <w:i w:val="false"/>
          <w:iCs w:val="false"/>
          <w:color w:val="000000"/>
          <w:sz w:val="22"/>
          <w:szCs w:val="22"/>
        </w:rPr>
        <w:t xml:space="preserve">Conservation Effectiveness Intelligence Platform (CEIP)</w:t>
      </w:r>
      <w:r>
        <w:rPr>
          <w:rFonts w:ascii="Arial" w:cs="Arial" w:eastAsia="Arial" w:hAnsi="Arial"/>
          <w:b w:val="false"/>
          <w:bCs w:val="false"/>
          <w:i w:val="false"/>
          <w:iCs w:val="false"/>
          <w:color w:val="000000"/>
          <w:sz w:val="22"/>
          <w:szCs w:val="22"/>
        </w:rPr>
        <w:t xml:space="preserve"> is a Software-as-a-Service platform that solves this problem for the first time. It combines a continuously updated living evidence database with AI-powered synthesis to answer the field's most important question: </w:t>
      </w:r>
      <w:r>
        <w:rPr>
          <w:rFonts w:ascii="Arial" w:cs="Arial" w:eastAsia="Arial" w:hAnsi="Arial"/>
          <w:b/>
          <w:bCs/>
          <w:i/>
          <w:iCs/>
          <w:color w:val="000000"/>
          <w:sz w:val="22"/>
          <w:szCs w:val="22"/>
        </w:rPr>
        <w:t xml:space="preserve">"What conservation interventions work, for which species, in which context — and what does the latest science say?"</w:t>
      </w:r>
    </w:p>
    <w:p>
      <w:pPr>
        <w:spacing w:after="80" w:before="0"/>
      </w:pPr>
      <w:r>
        <w:t xml:space="preserve"/>
      </w:r>
    </w:p>
    <w:p>
      <w:pPr>
        <w:spacing w:after="120" w:before="120" w:line="276"/>
        <w:jc w:val="left"/>
      </w:pPr>
      <w:r>
        <w:rPr>
          <w:rFonts w:ascii="Arial" w:cs="Arial" w:eastAsia="Arial" w:hAnsi="Arial"/>
          <w:b w:val="false"/>
          <w:bCs w:val="false"/>
          <w:i w:val="false"/>
          <w:iCs w:val="false"/>
          <w:color w:val="000000"/>
          <w:sz w:val="22"/>
          <w:szCs w:val="22"/>
        </w:rPr>
        <w:t xml:space="preserve">CEIP is not a static database. It is a living intelligence service that ingests new conservation science every week, automatically synthesises evidence across thousands of studies, and delivers cited, practitioner-ready guidance through a clean web interface. Users register their conservation projects and receive proactive alerts when new evidence emerges relevant to their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4"/>
              <w:left w:val="none" w:color="FFFFFF" w:sz="0"/>
              <w:bottom w:val="single" w:color="CCCCCC" w:sz="1"/>
              <w:right w:val="none" w:color="FFFFFF" w:sz="0"/>
            </w:tcBorders>
            <w:shd w:fill="EAF5EE" w:val="clear"/>
            <w:tcMar>
              <w:top w:type="dxa" w:w="120"/>
              <w:left w:type="dxa" w:w="200"/>
              <w:bottom w:type="dxa" w:w="120"/>
              <w:right w:type="dxa" w:w="200"/>
            </w:tcMar>
          </w:tcPr>
          <w:p>
            <w:pPr>
              <w:spacing w:after="0" w:before="0" w:line="276"/>
            </w:pPr>
            <w:r>
              <w:rPr>
                <w:rFonts w:ascii="Arial" w:cs="Arial" w:eastAsia="Arial" w:hAnsi="Arial"/>
                <w:b/>
                <w:bCs/>
                <w:color w:val="1A3C34"/>
                <w:sz w:val="22"/>
                <w:szCs w:val="22"/>
              </w:rPr>
              <w:t xml:space="preserve">The opportunity:  </w:t>
            </w:r>
            <w:r>
              <w:rPr>
                <w:rFonts w:ascii="Arial" w:cs="Arial" w:eastAsia="Arial" w:hAnsi="Arial"/>
                <w:color w:val="000000"/>
                <w:sz w:val="22"/>
                <w:szCs w:val="22"/>
              </w:rPr>
              <w:t xml:space="preserve">No platform today combines AI-powered evidence synthesis with real-time literature ingestion and practitioner decision support. The biodiversity technology market is projected to reach $22.8 billion by 2030, driven by TNFD, EU CSRD, and Kunming-Montreal GBF reporting mandates.</w:t>
            </w:r>
          </w:p>
        </w:tc>
      </w:tr>
    </w:tbl>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2.  The Problem</w:t>
      </w:r>
    </w:p>
    <w:p>
      <w:pPr>
        <w:pStyle w:val="Heading2"/>
        <w:spacing w:after="100" w:before="260"/>
      </w:pPr>
      <w:r>
        <w:rPr>
          <w:rFonts w:ascii="Arial" w:cs="Arial" w:eastAsia="Arial" w:hAnsi="Arial"/>
          <w:b/>
          <w:bCs/>
          <w:color w:val="2D6A4F"/>
          <w:sz w:val="26"/>
          <w:szCs w:val="26"/>
        </w:rPr>
        <w:t xml:space="preserve">2.1  Conservation decisions are made without evidence</w:t>
      </w:r>
    </w:p>
    <w:p>
      <w:pPr>
        <w:spacing w:after="120" w:before="120" w:line="276"/>
        <w:jc w:val="left"/>
      </w:pPr>
      <w:r>
        <w:rPr>
          <w:rFonts w:ascii="Arial" w:cs="Arial" w:eastAsia="Arial" w:hAnsi="Arial"/>
          <w:b w:val="false"/>
          <w:bCs w:val="false"/>
          <w:i w:val="false"/>
          <w:iCs w:val="false"/>
          <w:color w:val="000000"/>
          <w:sz w:val="22"/>
          <w:szCs w:val="22"/>
        </w:rPr>
        <w:t xml:space="preserve">A 2020 landmark analysis found that only 23% of conservation intervention studies use rigorous controlled designs. More critically, a survey of 758 conservation practitioners across 68 countries found that the primary barrier to evidence-based decision making is not willingness — it is access. Practitioners changed their approach to 45.7% of interventions after reading summarised evidence, demonstrating that the information gap, not the knowledge gap, is the core problem.</w:t>
      </w:r>
    </w:p>
    <w:p>
      <w:pPr>
        <w:spacing w:after="80" w:before="0"/>
      </w:pPr>
      <w:r>
        <w:t xml:space="preserve"/>
      </w:r>
    </w:p>
    <w:p>
      <w:pPr>
        <w:spacing w:after="120" w:before="120" w:line="276"/>
        <w:jc w:val="left"/>
      </w:pPr>
      <w:r>
        <w:rPr>
          <w:rFonts w:ascii="Arial" w:cs="Arial" w:eastAsia="Arial" w:hAnsi="Arial"/>
          <w:b w:val="false"/>
          <w:bCs w:val="false"/>
          <w:i w:val="false"/>
          <w:iCs w:val="false"/>
          <w:color w:val="000000"/>
          <w:sz w:val="22"/>
          <w:szCs w:val="22"/>
        </w:rPr>
        <w:t xml:space="preserve">The three structural barriers are:</w:t>
      </w:r>
    </w:p>
    <w:p>
      <w:pPr>
        <w:pStyle w:val="ListParagraph"/>
        <w:numPr>
          <w:ilvl w:val="0"/>
          <w:numId w:val="2"/>
        </w:numPr>
        <w:spacing w:after="60" w:before="60" w:line="276"/>
      </w:pPr>
      <w:r>
        <w:rPr>
          <w:rFonts w:ascii="Arial" w:cs="Arial" w:eastAsia="Arial" w:hAnsi="Arial"/>
          <w:color w:val="000000"/>
          <w:sz w:val="22"/>
          <w:szCs w:val="22"/>
        </w:rPr>
        <w:t xml:space="preserve">Fragmentation: Conservation evidence is scattered across 700+ journals, grey literature, government reports, and unpublished field data with no unified synthesis layer</w:t>
      </w:r>
    </w:p>
    <w:p>
      <w:pPr>
        <w:pStyle w:val="ListParagraph"/>
        <w:numPr>
          <w:ilvl w:val="0"/>
          <w:numId w:val="2"/>
        </w:numPr>
        <w:spacing w:after="60" w:before="60" w:line="276"/>
      </w:pPr>
      <w:r>
        <w:rPr>
          <w:rFonts w:ascii="Arial" w:cs="Arial" w:eastAsia="Arial" w:hAnsi="Arial"/>
          <w:color w:val="000000"/>
          <w:sz w:val="22"/>
          <w:szCs w:val="22"/>
        </w:rPr>
        <w:t xml:space="preserve">Latency: Existing synthesis platforms require 2–5 person-years per systematic review, creating evidence that is outdated before it reaches practitioners</w:t>
      </w:r>
    </w:p>
    <w:p>
      <w:pPr>
        <w:pStyle w:val="ListParagraph"/>
        <w:numPr>
          <w:ilvl w:val="0"/>
          <w:numId w:val="2"/>
        </w:numPr>
        <w:spacing w:after="60" w:before="60" w:line="276"/>
      </w:pPr>
      <w:r>
        <w:rPr>
          <w:rFonts w:ascii="Arial" w:cs="Arial" w:eastAsia="Arial" w:hAnsi="Arial"/>
          <w:color w:val="000000"/>
          <w:sz w:val="22"/>
          <w:szCs w:val="22"/>
        </w:rPr>
        <w:t xml:space="preserve">Inaccessibility: Paywalled journals, English-language bias, and highly technical formats make evidence unusable for the majority of practitioners working in the Global South</w:t>
      </w:r>
    </w:p>
    <w:p>
      <w:pPr>
        <w:spacing w:after="80" w:before="0"/>
      </w:pPr>
      <w:r>
        <w:t xml:space="preserve"/>
      </w:r>
    </w:p>
    <w:p>
      <w:pPr>
        <w:pStyle w:val="Heading2"/>
        <w:spacing w:after="100" w:before="260"/>
      </w:pPr>
      <w:r>
        <w:rPr>
          <w:rFonts w:ascii="Arial" w:cs="Arial" w:eastAsia="Arial" w:hAnsi="Arial"/>
          <w:b/>
          <w:bCs/>
          <w:color w:val="2D6A4F"/>
          <w:sz w:val="26"/>
          <w:szCs w:val="26"/>
        </w:rPr>
        <w:t xml:space="preserve">2.2  Existing platforms are static, siloed, and incomplete</w:t>
      </w:r>
    </w:p>
    <w:p>
      <w:pPr>
        <w:spacing w:after="120" w:before="120" w:line="276"/>
        <w:jc w:val="left"/>
      </w:pPr>
      <w:r>
        <w:rPr>
          <w:rFonts w:ascii="Arial" w:cs="Arial" w:eastAsia="Arial" w:hAnsi="Arial"/>
          <w:b w:val="false"/>
          <w:bCs w:val="false"/>
          <w:i w:val="false"/>
          <w:iCs w:val="false"/>
          <w:color w:val="000000"/>
          <w:sz w:val="22"/>
          <w:szCs w:val="22"/>
        </w:rPr>
        <w:t xml:space="preserve">Several respected platforms exist — Conservation Evidence (Cambridge), IUCN Red List, WDPA (Protected Planet), METT, Ocean Health Index — but none solves the core problem. Each measures a different dimension of the challenge and none communicates in real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Platform</w:t>
            </w:r>
          </w:p>
        </w:tc>
        <w:tc>
          <w:tcPr>
            <w:tcW w:type="dxa" w:w="1872"/>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What It Measures</w:t>
            </w:r>
          </w:p>
        </w:tc>
        <w:tc>
          <w:tcPr>
            <w:tcW w:type="dxa" w:w="1872"/>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AI-Powered?</w:t>
            </w:r>
          </w:p>
        </w:tc>
        <w:tc>
          <w:tcPr>
            <w:tcW w:type="dxa" w:w="1872"/>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Live Updates?</w:t>
            </w:r>
          </w:p>
        </w:tc>
        <w:tc>
          <w:tcPr>
            <w:tcW w:type="dxa" w:w="1872"/>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Practitioner Interface?</w:t>
            </w:r>
          </w:p>
        </w:tc>
      </w:tr>
      <w:tr>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Conservation Evidence</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Intervention effectiveness (expert scores)</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Annual</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Basic search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IUCN Red List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Species extinction 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Quarterly (some spp)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r>
      <w:tr>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WDPA / Protected Planet</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Protected area coverage</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Monthly (spatial only)</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Map only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METT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PA management quality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Project-cycle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Questionnaire</w:t>
            </w:r>
          </w:p>
        </w:tc>
      </w:tr>
      <w:tr>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Ocean Health Index</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Ocean health scores</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Annual</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Dashboard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ConservationEffectiveness.org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9 broad strategies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Infrequent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Visual only</w:t>
            </w:r>
          </w:p>
        </w:tc>
      </w:tr>
      <w:tr>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CEIP (this platform)</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All of the above, synthesised</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Yes — core feature</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Weekly automated</w:t>
            </w:r>
          </w:p>
        </w:tc>
        <w:tc>
          <w:tcPr>
            <w:tcW w:type="dxa" w:w="1872"/>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Full SaaS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4"/>
              <w:left w:val="none" w:color="FFFFFF" w:sz="0"/>
              <w:bottom w:val="single" w:color="CCCCCC" w:sz="1"/>
              <w:right w:val="none" w:color="FFFFFF" w:sz="0"/>
            </w:tcBorders>
            <w:shd w:fill="EAF5EE" w:val="clear"/>
            <w:tcMar>
              <w:top w:type="dxa" w:w="120"/>
              <w:left w:type="dxa" w:w="200"/>
              <w:bottom w:type="dxa" w:w="120"/>
              <w:right w:type="dxa" w:w="200"/>
            </w:tcMar>
          </w:tcPr>
          <w:p>
            <w:pPr>
              <w:spacing w:after="0" w:before="0" w:line="276"/>
            </w:pPr>
            <w:r>
              <w:rPr>
                <w:rFonts w:ascii="Arial" w:cs="Arial" w:eastAsia="Arial" w:hAnsi="Arial"/>
                <w:b/>
                <w:bCs/>
                <w:color w:val="1A3C34"/>
                <w:sz w:val="22"/>
                <w:szCs w:val="22"/>
              </w:rPr>
              <w:t xml:space="preserve">The gap:  </w:t>
            </w:r>
            <w:r>
              <w:rPr>
                <w:rFonts w:ascii="Arial" w:cs="Arial" w:eastAsia="Arial" w:hAnsi="Arial"/>
                <w:color w:val="000000"/>
                <w:sz w:val="22"/>
                <w:szCs w:val="22"/>
              </w:rPr>
              <w:t xml:space="preserve">No platform ingests new papers automatically, synthesises evidence with AI, links species threat data to interventions, and delivers practitioner-ready guidance through a subscription service. CEIP is built to fill this gap.</w:t>
            </w:r>
          </w:p>
        </w:tc>
      </w:tr>
    </w:tbl>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3.  The Solution</w:t>
      </w:r>
    </w:p>
    <w:p>
      <w:pPr>
        <w:pStyle w:val="Heading2"/>
        <w:spacing w:after="100" w:before="260"/>
      </w:pPr>
      <w:r>
        <w:rPr>
          <w:rFonts w:ascii="Arial" w:cs="Arial" w:eastAsia="Arial" w:hAnsi="Arial"/>
          <w:b/>
          <w:bCs/>
          <w:color w:val="2D6A4F"/>
          <w:sz w:val="26"/>
          <w:szCs w:val="26"/>
        </w:rPr>
        <w:t xml:space="preserve">3.1  What CEIP is</w:t>
      </w:r>
    </w:p>
    <w:p>
      <w:pPr>
        <w:spacing w:after="120" w:before="120" w:line="276"/>
        <w:jc w:val="left"/>
      </w:pPr>
      <w:r>
        <w:rPr>
          <w:rFonts w:ascii="Arial" w:cs="Arial" w:eastAsia="Arial" w:hAnsi="Arial"/>
          <w:b w:val="false"/>
          <w:bCs w:val="false"/>
          <w:i w:val="false"/>
          <w:iCs w:val="false"/>
          <w:color w:val="000000"/>
          <w:sz w:val="22"/>
          <w:szCs w:val="22"/>
        </w:rPr>
        <w:t xml:space="preserve">CEIP is a </w:t>
      </w:r>
      <w:r>
        <w:rPr>
          <w:rFonts w:ascii="Arial" w:cs="Arial" w:eastAsia="Arial" w:hAnsi="Arial"/>
          <w:b/>
          <w:bCs/>
          <w:i w:val="false"/>
          <w:iCs w:val="false"/>
          <w:color w:val="000000"/>
          <w:sz w:val="22"/>
          <w:szCs w:val="22"/>
        </w:rPr>
        <w:t xml:space="preserve">living evidence intelligence platform</w:t>
      </w:r>
      <w:r>
        <w:rPr>
          <w:rFonts w:ascii="Arial" w:cs="Arial" w:eastAsia="Arial" w:hAnsi="Arial"/>
          <w:b w:val="false"/>
          <w:bCs w:val="false"/>
          <w:i w:val="false"/>
          <w:iCs w:val="false"/>
          <w:color w:val="000000"/>
          <w:sz w:val="22"/>
          <w:szCs w:val="22"/>
        </w:rPr>
        <w:t xml:space="preserve"> delivered as a web service. The platform has three components that work together: a continuously updated evidence database, an AI reasoning engine, and a practitioner-facing interface with project tracking and alerts.</w:t>
      </w:r>
    </w:p>
    <w:p>
      <w:pPr>
        <w:spacing w:after="80" w:before="0"/>
      </w:pPr>
      <w:r>
        <w:t xml:space="preserve"/>
      </w:r>
    </w:p>
    <w:p>
      <w:pPr>
        <w:pStyle w:val="Heading2"/>
        <w:spacing w:after="100" w:before="260"/>
      </w:pPr>
      <w:r>
        <w:rPr>
          <w:rFonts w:ascii="Arial" w:cs="Arial" w:eastAsia="Arial" w:hAnsi="Arial"/>
          <w:b/>
          <w:bCs/>
          <w:color w:val="2D6A4F"/>
          <w:sz w:val="26"/>
          <w:szCs w:val="26"/>
        </w:rPr>
        <w:t xml:space="preserve">3.2  The three-layer architecture</w:t>
      </w:r>
    </w:p>
    <w:p>
      <w:pPr>
        <w:pStyle w:val="Heading3"/>
        <w:spacing w:after="80" w:before="200"/>
      </w:pPr>
      <w:r>
        <w:rPr>
          <w:rFonts w:ascii="Arial" w:cs="Arial" w:eastAsia="Arial" w:hAnsi="Arial"/>
          <w:b/>
          <w:bCs/>
          <w:color w:val="40916C"/>
          <w:sz w:val="22"/>
          <w:szCs w:val="22"/>
        </w:rPr>
        <w:t xml:space="preserve">Layer 1 — The Living Evidence Database</w:t>
      </w:r>
    </w:p>
    <w:p>
      <w:pPr>
        <w:spacing w:after="120" w:before="120" w:line="276"/>
        <w:jc w:val="left"/>
      </w:pPr>
      <w:r>
        <w:rPr>
          <w:rFonts w:ascii="Arial" w:cs="Arial" w:eastAsia="Arial" w:hAnsi="Arial"/>
          <w:b w:val="false"/>
          <w:bCs w:val="false"/>
          <w:i w:val="false"/>
          <w:iCs w:val="false"/>
          <w:color w:val="000000"/>
          <w:sz w:val="22"/>
          <w:szCs w:val="22"/>
        </w:rPr>
        <w:t xml:space="preserve">The platform ingests and indexes evidence from multiple open sources, updated automatically every week:</w:t>
      </w:r>
    </w:p>
    <w:p>
      <w:pPr>
        <w:pStyle w:val="ListParagraph"/>
        <w:numPr>
          <w:ilvl w:val="0"/>
          <w:numId w:val="2"/>
        </w:numPr>
        <w:spacing w:after="60" w:before="60" w:line="276"/>
      </w:pPr>
      <w:r>
        <w:rPr>
          <w:rFonts w:ascii="Arial" w:cs="Arial" w:eastAsia="Arial" w:hAnsi="Arial"/>
          <w:color w:val="000000"/>
          <w:sz w:val="22"/>
          <w:szCs w:val="22"/>
        </w:rPr>
        <w:t xml:space="preserve">Conservation Evidence database (3,891 interventions, 8,500+ study summaries) — the world's most comprehensive intervention effectiveness resource</w:t>
      </w:r>
    </w:p>
    <w:p>
      <w:pPr>
        <w:pStyle w:val="ListParagraph"/>
        <w:numPr>
          <w:ilvl w:val="0"/>
          <w:numId w:val="2"/>
        </w:numPr>
        <w:spacing w:after="60" w:before="60" w:line="276"/>
      </w:pPr>
      <w:r>
        <w:rPr>
          <w:rFonts w:ascii="Arial" w:cs="Arial" w:eastAsia="Arial" w:hAnsi="Arial"/>
          <w:color w:val="000000"/>
          <w:sz w:val="22"/>
          <w:szCs w:val="22"/>
        </w:rPr>
        <w:t xml:space="preserve">OpenAlex and CORE APIs (250M+ open-access scholarly works) — continuously monitored for new conservation publications</w:t>
      </w:r>
    </w:p>
    <w:p>
      <w:pPr>
        <w:pStyle w:val="ListParagraph"/>
        <w:numPr>
          <w:ilvl w:val="0"/>
          <w:numId w:val="2"/>
        </w:numPr>
        <w:spacing w:after="60" w:before="60" w:line="276"/>
      </w:pPr>
      <w:r>
        <w:rPr>
          <w:rFonts w:ascii="Arial" w:cs="Arial" w:eastAsia="Arial" w:hAnsi="Arial"/>
          <w:color w:val="000000"/>
          <w:sz w:val="22"/>
          <w:szCs w:val="22"/>
        </w:rPr>
        <w:t xml:space="preserve">IUCN Red List API (172,600+ species assessments with threat categories and conservation actions)</w:t>
      </w:r>
    </w:p>
    <w:p>
      <w:pPr>
        <w:pStyle w:val="ListParagraph"/>
        <w:numPr>
          <w:ilvl w:val="0"/>
          <w:numId w:val="2"/>
        </w:numPr>
        <w:spacing w:after="60" w:before="60" w:line="276"/>
      </w:pPr>
      <w:r>
        <w:rPr>
          <w:rFonts w:ascii="Arial" w:cs="Arial" w:eastAsia="Arial" w:hAnsi="Arial"/>
          <w:color w:val="000000"/>
          <w:sz w:val="22"/>
          <w:szCs w:val="22"/>
        </w:rPr>
        <w:t xml:space="preserve">WDPA (312,000+ protected areas globally with management data)</w:t>
      </w:r>
    </w:p>
    <w:p>
      <w:pPr>
        <w:pStyle w:val="ListParagraph"/>
        <w:numPr>
          <w:ilvl w:val="0"/>
          <w:numId w:val="2"/>
        </w:numPr>
        <w:spacing w:after="60" w:before="60" w:line="276"/>
      </w:pPr>
      <w:r>
        <w:rPr>
          <w:rFonts w:ascii="Arial" w:cs="Arial" w:eastAsia="Arial" w:hAnsi="Arial"/>
          <w:color w:val="000000"/>
          <w:sz w:val="22"/>
          <w:szCs w:val="22"/>
        </w:rPr>
        <w:t xml:space="preserve">PREDICTS database (4.3M biodiversity measurements as habitat baseline)</w:t>
      </w:r>
    </w:p>
    <w:p>
      <w:pPr>
        <w:spacing w:after="80" w:before="0"/>
      </w:pPr>
      <w:r>
        <w:t xml:space="preserve"/>
      </w:r>
    </w:p>
    <w:p>
      <w:pPr>
        <w:pStyle w:val="Heading3"/>
        <w:spacing w:after="80" w:before="200"/>
      </w:pPr>
      <w:r>
        <w:rPr>
          <w:rFonts w:ascii="Arial" w:cs="Arial" w:eastAsia="Arial" w:hAnsi="Arial"/>
          <w:b/>
          <w:bCs/>
          <w:color w:val="40916C"/>
          <w:sz w:val="22"/>
          <w:szCs w:val="22"/>
        </w:rPr>
        <w:t xml:space="preserve">Layer 2 — The AI Intelligence Engine</w:t>
      </w:r>
    </w:p>
    <w:p>
      <w:pPr>
        <w:spacing w:after="120" w:before="120" w:line="276"/>
        <w:jc w:val="left"/>
      </w:pPr>
      <w:r>
        <w:rPr>
          <w:rFonts w:ascii="Arial" w:cs="Arial" w:eastAsia="Arial" w:hAnsi="Arial"/>
          <w:b w:val="false"/>
          <w:bCs w:val="false"/>
          <w:i w:val="false"/>
          <w:iCs w:val="false"/>
          <w:color w:val="000000"/>
          <w:sz w:val="22"/>
          <w:szCs w:val="22"/>
        </w:rPr>
        <w:t xml:space="preserve">The intelligence engine transforms raw evidence into actionable guidance. It is built on a Retrieval-Augmented Generation (RAG) architecture — a harness-engineered system in which the AI model is one validated, swappable component inside a larger pipeline governed by structured data contracts:</w:t>
      </w:r>
    </w:p>
    <w:p>
      <w:pPr>
        <w:pStyle w:val="ListParagraph"/>
        <w:numPr>
          <w:ilvl w:val="0"/>
          <w:numId w:val="2"/>
        </w:numPr>
        <w:spacing w:after="60" w:before="60" w:line="276"/>
      </w:pPr>
      <w:r>
        <w:rPr>
          <w:rFonts w:ascii="Arial" w:cs="Arial" w:eastAsia="Arial" w:hAnsi="Arial"/>
          <w:color w:val="000000"/>
          <w:sz w:val="22"/>
          <w:szCs w:val="22"/>
        </w:rPr>
        <w:t xml:space="preserve">Semantic search across all embedded documents using vector similarity and keyword retrieval</w:t>
      </w:r>
    </w:p>
    <w:p>
      <w:pPr>
        <w:pStyle w:val="ListParagraph"/>
        <w:numPr>
          <w:ilvl w:val="0"/>
          <w:numId w:val="2"/>
        </w:numPr>
        <w:spacing w:after="60" w:before="60" w:line="276"/>
      </w:pPr>
      <w:r>
        <w:rPr>
          <w:rFonts w:ascii="Arial" w:cs="Arial" w:eastAsia="Arial" w:hAnsi="Arial"/>
          <w:color w:val="000000"/>
          <w:sz w:val="22"/>
          <w:szCs w:val="22"/>
        </w:rPr>
        <w:t xml:space="preserve">Structured output contracts (Pydantic schemas) that enforce citation integrity and evidence quality before any response reaches a user</w:t>
      </w:r>
    </w:p>
    <w:p>
      <w:pPr>
        <w:pStyle w:val="ListParagraph"/>
        <w:numPr>
          <w:ilvl w:val="0"/>
          <w:numId w:val="2"/>
        </w:numPr>
        <w:spacing w:after="60" w:before="60" w:line="276"/>
      </w:pPr>
      <w:r>
        <w:rPr>
          <w:rFonts w:ascii="Arial" w:cs="Arial" w:eastAsia="Arial" w:hAnsi="Arial"/>
          <w:color w:val="000000"/>
          <w:sz w:val="22"/>
          <w:szCs w:val="22"/>
        </w:rPr>
        <w:t xml:space="preserve">Confidence scoring: every answer carries an explicit evidence strength rating (strong / moderate / weak / none)</w:t>
      </w:r>
    </w:p>
    <w:p>
      <w:pPr>
        <w:pStyle w:val="ListParagraph"/>
        <w:numPr>
          <w:ilvl w:val="0"/>
          <w:numId w:val="2"/>
        </w:numPr>
        <w:spacing w:after="60" w:before="60" w:line="276"/>
      </w:pPr>
      <w:r>
        <w:rPr>
          <w:rFonts w:ascii="Arial" w:cs="Arial" w:eastAsia="Arial" w:hAnsi="Arial"/>
          <w:color w:val="000000"/>
          <w:sz w:val="22"/>
          <w:szCs w:val="22"/>
        </w:rPr>
        <w:t xml:space="preserve">Hallucination prevention: all factual claims are validated against retrieved source documents before output</w:t>
      </w:r>
    </w:p>
    <w:p>
      <w:pPr>
        <w:pStyle w:val="ListParagraph"/>
        <w:numPr>
          <w:ilvl w:val="0"/>
          <w:numId w:val="2"/>
        </w:numPr>
        <w:spacing w:after="60" w:before="60" w:line="276"/>
      </w:pPr>
      <w:r>
        <w:rPr>
          <w:rFonts w:ascii="Arial" w:cs="Arial" w:eastAsia="Arial" w:hAnsi="Arial"/>
          <w:color w:val="000000"/>
          <w:sz w:val="22"/>
          <w:szCs w:val="22"/>
        </w:rPr>
        <w:t xml:space="preserve">A weekly autonomous agent that scans new publications, classifies their relevance, embeds new evidence, and triggers user alerts</w:t>
      </w:r>
    </w:p>
    <w:p>
      <w:pPr>
        <w:spacing w:after="80" w:before="0"/>
      </w:pPr>
      <w:r>
        <w:t xml:space="preserve"/>
      </w:r>
    </w:p>
    <w:p>
      <w:pPr>
        <w:pStyle w:val="Heading3"/>
        <w:spacing w:after="80" w:before="200"/>
      </w:pPr>
      <w:r>
        <w:rPr>
          <w:rFonts w:ascii="Arial" w:cs="Arial" w:eastAsia="Arial" w:hAnsi="Arial"/>
          <w:b/>
          <w:bCs/>
          <w:color w:val="40916C"/>
          <w:sz w:val="22"/>
          <w:szCs w:val="22"/>
        </w:rPr>
        <w:t xml:space="preserve">Layer 3 — The Practitioner Interface</w:t>
      </w:r>
    </w:p>
    <w:p>
      <w:pPr>
        <w:spacing w:after="120" w:before="120" w:line="276"/>
        <w:jc w:val="left"/>
      </w:pPr>
      <w:r>
        <w:rPr>
          <w:rFonts w:ascii="Arial" w:cs="Arial" w:eastAsia="Arial" w:hAnsi="Arial"/>
          <w:b w:val="false"/>
          <w:bCs w:val="false"/>
          <w:i w:val="false"/>
          <w:iCs w:val="false"/>
          <w:color w:val="000000"/>
          <w:sz w:val="22"/>
          <w:szCs w:val="22"/>
        </w:rPr>
        <w:t xml:space="preserve">The user-facing platform is a clean web application where:</w:t>
      </w:r>
    </w:p>
    <w:p>
      <w:pPr>
        <w:pStyle w:val="ListParagraph"/>
        <w:numPr>
          <w:ilvl w:val="0"/>
          <w:numId w:val="2"/>
        </w:numPr>
        <w:spacing w:after="60" w:before="60" w:line="276"/>
      </w:pPr>
      <w:r>
        <w:rPr>
          <w:rFonts w:ascii="Arial" w:cs="Arial" w:eastAsia="Arial" w:hAnsi="Arial"/>
          <w:color w:val="000000"/>
          <w:sz w:val="22"/>
          <w:szCs w:val="22"/>
        </w:rPr>
        <w:t xml:space="preserve">Practitioners describe their conservation activities and context (species, habitat, location, budget)</w:t>
      </w:r>
    </w:p>
    <w:p>
      <w:pPr>
        <w:pStyle w:val="ListParagraph"/>
        <w:numPr>
          <w:ilvl w:val="0"/>
          <w:numId w:val="2"/>
        </w:numPr>
        <w:spacing w:after="60" w:before="60" w:line="276"/>
      </w:pPr>
      <w:r>
        <w:rPr>
          <w:rFonts w:ascii="Arial" w:cs="Arial" w:eastAsia="Arial" w:hAnsi="Arial"/>
          <w:color w:val="000000"/>
          <w:sz w:val="22"/>
          <w:szCs w:val="22"/>
        </w:rPr>
        <w:t xml:space="preserve">The platform returns an AI-synthesised evidence summary with effectiveness ratings, confidence levels, and numbered citations</w:t>
      </w:r>
    </w:p>
    <w:p>
      <w:pPr>
        <w:pStyle w:val="ListParagraph"/>
        <w:numPr>
          <w:ilvl w:val="0"/>
          <w:numId w:val="2"/>
        </w:numPr>
        <w:spacing w:after="60" w:before="60" w:line="276"/>
      </w:pPr>
      <w:r>
        <w:rPr>
          <w:rFonts w:ascii="Arial" w:cs="Arial" w:eastAsia="Arial" w:hAnsi="Arial"/>
          <w:color w:val="000000"/>
          <w:sz w:val="22"/>
          <w:szCs w:val="22"/>
        </w:rPr>
        <w:t xml:space="preserve">Users register ongoing projects and receive proactive weekly alerts when new relevant evidence is published</w:t>
      </w:r>
    </w:p>
    <w:p>
      <w:pPr>
        <w:pStyle w:val="ListParagraph"/>
        <w:numPr>
          <w:ilvl w:val="0"/>
          <w:numId w:val="2"/>
        </w:numPr>
        <w:spacing w:after="60" w:before="60" w:line="276"/>
      </w:pPr>
      <w:r>
        <w:rPr>
          <w:rFonts w:ascii="Arial" w:cs="Arial" w:eastAsia="Arial" w:hAnsi="Arial"/>
          <w:color w:val="000000"/>
          <w:sz w:val="22"/>
          <w:szCs w:val="22"/>
        </w:rPr>
        <w:t xml:space="preserve">Corporate users receive TNFD/CSRD-aligned biodiversity action reports with evidence-backed recommendations</w:t>
      </w:r>
    </w:p>
    <w:p>
      <w:pPr>
        <w:pStyle w:val="ListParagraph"/>
        <w:numPr>
          <w:ilvl w:val="0"/>
          <w:numId w:val="2"/>
        </w:numPr>
        <w:spacing w:after="60" w:before="60" w:line="276"/>
      </w:pPr>
      <w:r>
        <w:rPr>
          <w:rFonts w:ascii="Arial" w:cs="Arial" w:eastAsia="Arial" w:hAnsi="Arial"/>
          <w:color w:val="000000"/>
          <w:sz w:val="22"/>
          <w:szCs w:val="22"/>
        </w:rPr>
        <w:t xml:space="preserve">Funders can compare portfolio-level evidence quality and identify evidence gaps across grantees</w:t>
      </w:r>
    </w:p>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4.  Key Features and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Living Evidence Feed</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New papers ingested and indexed every week automatically</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Evidence stays current — no manual update cycle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Natural Language Queries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Ask in plain language: 'What works for elephant-human conflict in East Africa?'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 training needed; accessible to all practitioners</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Structured Evidence Quality</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Every answer shows: strength of evidence, number of studies, geographic limits</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Practitioners understand confidence, not just conclusions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Project Tracking &amp; 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Register your conservation activity; get notified when relevant evidence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Practitioners learn as the science evolves, not years later</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Species-to-Intervention Linking</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IUCN threat data linked to Conservation Evidence interventions automatically</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Species-specific guidance without manual cross-referencing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Citation Integrity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Automated validator checks every claim is supported by a retrieved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Prevents AI hallucination from reaching users</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TNFD / CSRD Report Module</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Generate evidence-based biodiversity action plans for corporate disclosure</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Creates a paying enterprise user segment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Multilingual Evidence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Synthesis of evidence from 17+ language 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Addresses Global South knowledge gap</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Evidence Gap Mapping</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Automatic identification of interventions with no or weak evidence</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Directs future research priorities transparently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Open by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Free tier for conservation practitioners; paid for enterprise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Maximises conservation impact while building revenue</w:t>
            </w:r>
          </w:p>
        </w:tc>
      </w:tr>
    </w:tbl>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5.  Users and Beneficiaries</w:t>
      </w:r>
    </w:p>
    <w:p>
      <w:pPr>
        <w:pStyle w:val="Heading2"/>
        <w:spacing w:after="100" w:before="260"/>
      </w:pPr>
      <w:r>
        <w:rPr>
          <w:rFonts w:ascii="Arial" w:cs="Arial" w:eastAsia="Arial" w:hAnsi="Arial"/>
          <w:b/>
          <w:bCs/>
          <w:color w:val="2D6A4F"/>
          <w:sz w:val="26"/>
          <w:szCs w:val="26"/>
        </w:rPr>
        <w:t xml:space="preserve">5.1  Primary user groups</w:t>
      </w:r>
    </w:p>
    <w:p>
      <w:pPr>
        <w:pStyle w:val="Heading3"/>
        <w:spacing w:after="80" w:before="200"/>
      </w:pPr>
      <w:r>
        <w:rPr>
          <w:rFonts w:ascii="Arial" w:cs="Arial" w:eastAsia="Arial" w:hAnsi="Arial"/>
          <w:b/>
          <w:bCs/>
          <w:color w:val="40916C"/>
          <w:sz w:val="22"/>
          <w:szCs w:val="22"/>
        </w:rPr>
        <w:t xml:space="preserve">Conservation Practitioners and NGOs</w:t>
      </w:r>
    </w:p>
    <w:p>
      <w:pPr>
        <w:spacing w:after="120" w:before="120" w:line="276"/>
        <w:jc w:val="left"/>
      </w:pPr>
      <w:r>
        <w:rPr>
          <w:rFonts w:ascii="Arial" w:cs="Arial" w:eastAsia="Arial" w:hAnsi="Arial"/>
          <w:b w:val="false"/>
          <w:bCs w:val="false"/>
          <w:i w:val="false"/>
          <w:iCs w:val="false"/>
          <w:color w:val="000000"/>
          <w:sz w:val="22"/>
          <w:szCs w:val="22"/>
        </w:rPr>
        <w:t xml:space="preserve">Field conservationists, species managers, and NGO programme officers who need to make intervention decisions quickly and justify them to funders. Currently have no tool that delivers evidence in a practitioner-friendly format. CEIP gives them a free, always-current evidence co-pilot.</w:t>
      </w:r>
    </w:p>
    <w:p>
      <w:pPr>
        <w:spacing w:after="80" w:before="0"/>
      </w:pPr>
      <w:r>
        <w:t xml:space="preserve"/>
      </w:r>
    </w:p>
    <w:p>
      <w:pPr>
        <w:pStyle w:val="Heading3"/>
        <w:spacing w:after="80" w:before="200"/>
      </w:pPr>
      <w:r>
        <w:rPr>
          <w:rFonts w:ascii="Arial" w:cs="Arial" w:eastAsia="Arial" w:hAnsi="Arial"/>
          <w:b/>
          <w:bCs/>
          <w:color w:val="40916C"/>
          <w:sz w:val="22"/>
          <w:szCs w:val="22"/>
        </w:rPr>
        <w:t xml:space="preserve">Conservation Funders</w:t>
      </w:r>
    </w:p>
    <w:p>
      <w:pPr>
        <w:spacing w:after="120" w:before="120" w:line="276"/>
        <w:jc w:val="left"/>
      </w:pPr>
      <w:r>
        <w:rPr>
          <w:rFonts w:ascii="Arial" w:cs="Arial" w:eastAsia="Arial" w:hAnsi="Arial"/>
          <w:b w:val="false"/>
          <w:bCs w:val="false"/>
          <w:i w:val="false"/>
          <w:iCs w:val="false"/>
          <w:color w:val="000000"/>
          <w:sz w:val="22"/>
          <w:szCs w:val="22"/>
        </w:rPr>
        <w:t xml:space="preserve">Foundations, bilateral donors, and impact investors deploying conservation capital who need to compare the evidence quality behind grant proposals and track whether funded interventions are supported by the latest science. No such comparison tool currently exists.</w:t>
      </w:r>
    </w:p>
    <w:p>
      <w:pPr>
        <w:spacing w:after="80" w:before="0"/>
      </w:pPr>
      <w:r>
        <w:t xml:space="preserve"/>
      </w:r>
    </w:p>
    <w:p>
      <w:pPr>
        <w:pStyle w:val="Heading3"/>
        <w:spacing w:after="80" w:before="200"/>
      </w:pPr>
      <w:r>
        <w:rPr>
          <w:rFonts w:ascii="Arial" w:cs="Arial" w:eastAsia="Arial" w:hAnsi="Arial"/>
          <w:b/>
          <w:bCs/>
          <w:color w:val="40916C"/>
          <w:sz w:val="22"/>
          <w:szCs w:val="22"/>
        </w:rPr>
        <w:t xml:space="preserve">Corporate Sustainability Teams</w:t>
      </w:r>
    </w:p>
    <w:p>
      <w:pPr>
        <w:spacing w:after="120" w:before="120" w:line="276"/>
        <w:jc w:val="left"/>
      </w:pPr>
      <w:r>
        <w:rPr>
          <w:rFonts w:ascii="Arial" w:cs="Arial" w:eastAsia="Arial" w:hAnsi="Arial"/>
          <w:b w:val="false"/>
          <w:bCs w:val="false"/>
          <w:i w:val="false"/>
          <w:iCs w:val="false"/>
          <w:color w:val="000000"/>
          <w:sz w:val="22"/>
          <w:szCs w:val="22"/>
        </w:rPr>
        <w:t xml:space="preserve">Organisations required to disclose nature-related dependencies and impacts under TNFD (500+ early adopters), EU CSRD (14,000+ companies in scope), and GRI 101 Biodiversity (effective January 2026). These teams need evidence-based conservation action recommendations — not opinion — to justify their biodiversity strategies.</w:t>
      </w:r>
    </w:p>
    <w:p>
      <w:pPr>
        <w:spacing w:after="80" w:before="0"/>
      </w:pPr>
      <w:r>
        <w:t xml:space="preserve"/>
      </w:r>
    </w:p>
    <w:p>
      <w:pPr>
        <w:pStyle w:val="Heading3"/>
        <w:spacing w:after="80" w:before="200"/>
      </w:pPr>
      <w:r>
        <w:rPr>
          <w:rFonts w:ascii="Arial" w:cs="Arial" w:eastAsia="Arial" w:hAnsi="Arial"/>
          <w:b/>
          <w:bCs/>
          <w:color w:val="40916C"/>
          <w:sz w:val="22"/>
          <w:szCs w:val="22"/>
        </w:rPr>
        <w:t xml:space="preserve">Biodiversity Credit Developers</w:t>
      </w:r>
    </w:p>
    <w:p>
      <w:pPr>
        <w:spacing w:after="120" w:before="120" w:line="276"/>
        <w:jc w:val="left"/>
      </w:pPr>
      <w:r>
        <w:rPr>
          <w:rFonts w:ascii="Arial" w:cs="Arial" w:eastAsia="Arial" w:hAnsi="Arial"/>
          <w:b w:val="false"/>
          <w:bCs w:val="false"/>
          <w:i w:val="false"/>
          <w:iCs w:val="false"/>
          <w:color w:val="000000"/>
          <w:sz w:val="22"/>
          <w:szCs w:val="22"/>
        </w:rPr>
        <w:t xml:space="preserve">The $34+ emerging biodiversity credit market requires rigorous evidence for Measurement, Reporting, and Verification (MRV) of conservation outcomes. CEIP provides the evidence layer that credits need to demonstrate additionality and effectiveness.</w:t>
      </w:r>
    </w:p>
    <w:p>
      <w:pPr>
        <w:spacing w:after="80" w:before="0"/>
      </w:pPr>
      <w:r>
        <w:t xml:space="preserve"/>
      </w:r>
    </w:p>
    <w:p>
      <w:pPr>
        <w:pStyle w:val="Heading3"/>
        <w:spacing w:after="80" w:before="200"/>
      </w:pPr>
      <w:r>
        <w:rPr>
          <w:rFonts w:ascii="Arial" w:cs="Arial" w:eastAsia="Arial" w:hAnsi="Arial"/>
          <w:b/>
          <w:bCs/>
          <w:color w:val="40916C"/>
          <w:sz w:val="22"/>
          <w:szCs w:val="22"/>
        </w:rPr>
        <w:t xml:space="preserve">Government and Policy Bodies</w:t>
      </w:r>
    </w:p>
    <w:p>
      <w:pPr>
        <w:spacing w:after="120" w:before="120" w:line="276"/>
        <w:jc w:val="left"/>
      </w:pPr>
      <w:r>
        <w:rPr>
          <w:rFonts w:ascii="Arial" w:cs="Arial" w:eastAsia="Arial" w:hAnsi="Arial"/>
          <w:b w:val="false"/>
          <w:bCs w:val="false"/>
          <w:i w:val="false"/>
          <w:iCs w:val="false"/>
          <w:color w:val="000000"/>
          <w:sz w:val="22"/>
          <w:szCs w:val="22"/>
        </w:rPr>
        <w:t xml:space="preserve">National Biodiversity Strategy and Action Plan (NBSAP) implementers across 196 CBD parties who need to report against the Kunming-Montreal Global Biodiversity Framework's 23 targets. CEIP provides the evidence infrastructure for monitoring effectiveness of national conservation actions.</w:t>
      </w:r>
    </w:p>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6.  Business Model and Revenue</w:t>
      </w:r>
    </w:p>
    <w:p>
      <w:pPr>
        <w:pStyle w:val="Heading2"/>
        <w:spacing w:after="100" w:before="260"/>
      </w:pPr>
      <w:r>
        <w:rPr>
          <w:rFonts w:ascii="Arial" w:cs="Arial" w:eastAsia="Arial" w:hAnsi="Arial"/>
          <w:b/>
          <w:bCs/>
          <w:color w:val="2D6A4F"/>
          <w:sz w:val="26"/>
          <w:szCs w:val="26"/>
        </w:rPr>
        <w:t xml:space="preserve">6.1  Tiered access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Target User</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What They Get</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Free</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Conservation practitioners &amp; researchers</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£0</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Unlimited evidence queries, species lookup, weekly digest, community 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Professional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NGO programme teams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£500–2,000/year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Project tracking, evidence alerts, PDF reports, priority support</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Enterprise</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Corporates, funders, governments</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£5,000–50,000/year</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TNFD/CSRD reporting module, API access, white-label, portfolio analytics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API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Developers, other platforms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Usage-based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RESTful API for embedding CEIP evidence in third-party tools</w:t>
            </w:r>
          </w:p>
        </w:tc>
      </w:tr>
    </w:tbl>
    <w:p>
      <w:pPr>
        <w:spacing w:after="80" w:before="0"/>
      </w:pPr>
      <w:r>
        <w:t xml:space="preserve"/>
      </w:r>
    </w:p>
    <w:p>
      <w:pPr>
        <w:pStyle w:val="Heading2"/>
        <w:spacing w:after="100" w:before="260"/>
      </w:pPr>
      <w:r>
        <w:rPr>
          <w:rFonts w:ascii="Arial" w:cs="Arial" w:eastAsia="Arial" w:hAnsi="Arial"/>
          <w:b/>
          <w:bCs/>
          <w:color w:val="2D6A4F"/>
          <w:sz w:val="26"/>
          <w:szCs w:val="26"/>
        </w:rPr>
        <w:t xml:space="preserve">6.2  Grant and partnership funding (Years 0–3)</w:t>
      </w:r>
    </w:p>
    <w:p>
      <w:pPr>
        <w:spacing w:after="120" w:before="120" w:line="276"/>
        <w:jc w:val="left"/>
      </w:pPr>
      <w:r>
        <w:rPr>
          <w:rFonts w:ascii="Arial" w:cs="Arial" w:eastAsia="Arial" w:hAnsi="Arial"/>
          <w:b w:val="false"/>
          <w:bCs w:val="false"/>
          <w:i w:val="false"/>
          <w:iCs w:val="false"/>
          <w:color w:val="000000"/>
          <w:sz w:val="22"/>
          <w:szCs w:val="22"/>
        </w:rPr>
        <w:t xml:space="preserve">The platform's conservation impact mission makes it eligible for significant grant funding alongside earned revenue:</w:t>
      </w:r>
    </w:p>
    <w:p>
      <w:pPr>
        <w:pStyle w:val="ListParagraph"/>
        <w:numPr>
          <w:ilvl w:val="0"/>
          <w:numId w:val="2"/>
        </w:numPr>
        <w:spacing w:after="60" w:before="60" w:line="276"/>
      </w:pPr>
      <w:r>
        <w:rPr>
          <w:rFonts w:ascii="Arial" w:cs="Arial" w:eastAsia="Arial" w:hAnsi="Arial"/>
          <w:color w:val="000000"/>
          <w:sz w:val="22"/>
          <w:szCs w:val="22"/>
        </w:rPr>
        <w:t xml:space="preserve">Bezos Earth Fund AI Grand Challenge — Phase I concept notes accepted; Phase II up to $2 million per team</w:t>
      </w:r>
    </w:p>
    <w:p>
      <w:pPr>
        <w:pStyle w:val="ListParagraph"/>
        <w:numPr>
          <w:ilvl w:val="0"/>
          <w:numId w:val="2"/>
        </w:numPr>
        <w:spacing w:after="60" w:before="60" w:line="276"/>
      </w:pPr>
      <w:r>
        <w:rPr>
          <w:rFonts w:ascii="Arial" w:cs="Arial" w:eastAsia="Arial" w:hAnsi="Arial"/>
          <w:color w:val="000000"/>
          <w:sz w:val="22"/>
          <w:szCs w:val="22"/>
        </w:rPr>
        <w:t xml:space="preserve">Google.org Impact Challenge on Climate — grants for AI-enabled conservation tools</w:t>
      </w:r>
    </w:p>
    <w:p>
      <w:pPr>
        <w:pStyle w:val="ListParagraph"/>
        <w:numPr>
          <w:ilvl w:val="0"/>
          <w:numId w:val="2"/>
        </w:numPr>
        <w:spacing w:after="60" w:before="60" w:line="276"/>
      </w:pPr>
      <w:r>
        <w:rPr>
          <w:rFonts w:ascii="Arial" w:cs="Arial" w:eastAsia="Arial" w:hAnsi="Arial"/>
          <w:color w:val="000000"/>
          <w:sz w:val="22"/>
          <w:szCs w:val="22"/>
        </w:rPr>
        <w:t xml:space="preserve">Moore Foundation Conservation Science Programme — evidence synthesis is a stated priority</w:t>
      </w:r>
    </w:p>
    <w:p>
      <w:pPr>
        <w:pStyle w:val="ListParagraph"/>
        <w:numPr>
          <w:ilvl w:val="0"/>
          <w:numId w:val="2"/>
        </w:numPr>
        <w:spacing w:after="60" w:before="60" w:line="276"/>
      </w:pPr>
      <w:r>
        <w:rPr>
          <w:rFonts w:ascii="Arial" w:cs="Arial" w:eastAsia="Arial" w:hAnsi="Arial"/>
          <w:color w:val="000000"/>
          <w:sz w:val="22"/>
          <w:szCs w:val="22"/>
        </w:rPr>
        <w:t xml:space="preserve">UKRI / Natural Environment Research Council (NERC) — Knowledge Exchange and Impact funding</w:t>
      </w:r>
    </w:p>
    <w:p>
      <w:pPr>
        <w:pStyle w:val="ListParagraph"/>
        <w:numPr>
          <w:ilvl w:val="0"/>
          <w:numId w:val="2"/>
        </w:numPr>
        <w:spacing w:after="60" w:before="60" w:line="276"/>
      </w:pPr>
      <w:r>
        <w:rPr>
          <w:rFonts w:ascii="Arial" w:cs="Arial" w:eastAsia="Arial" w:hAnsi="Arial"/>
          <w:color w:val="000000"/>
          <w:sz w:val="22"/>
          <w:szCs w:val="22"/>
        </w:rPr>
        <w:t xml:space="preserve">EU Horizon Europe Biodiversity calls — significant funding for digital conservation tools</w:t>
      </w:r>
    </w:p>
    <w:p>
      <w:pPr>
        <w:spacing w:after="80" w:before="0"/>
      </w:pPr>
      <w:r>
        <w:t xml:space="preserve"/>
      </w:r>
    </w:p>
    <w:p>
      <w:pPr>
        <w:pStyle w:val="Heading2"/>
        <w:spacing w:after="100" w:before="260"/>
      </w:pPr>
      <w:r>
        <w:rPr>
          <w:rFonts w:ascii="Arial" w:cs="Arial" w:eastAsia="Arial" w:hAnsi="Arial"/>
          <w:b/>
          <w:bCs/>
          <w:color w:val="2D6A4F"/>
          <w:sz w:val="26"/>
          <w:szCs w:val="26"/>
        </w:rPr>
        <w:t xml:space="preserve">6.3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Revenue Source</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Projected Revenue</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Key Milestone</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Year 1</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Grants + 3 enterprise pilots</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£100,000–250,000</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MVP live, first paying users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Year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Grants + 20 enterprise clients +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£400,000–700,000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TNFD module, Cambridge partnership</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Year 3</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SaaS scale + credit market entry</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£1,000,000+</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100+ enterprise clients, Series A eligible</w:t>
            </w:r>
          </w:p>
        </w:tc>
      </w:tr>
    </w:tbl>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7.  Technical Approach</w:t>
      </w:r>
    </w:p>
    <w:p>
      <w:pPr>
        <w:pStyle w:val="Heading2"/>
        <w:spacing w:after="100" w:before="260"/>
      </w:pPr>
      <w:r>
        <w:rPr>
          <w:rFonts w:ascii="Arial" w:cs="Arial" w:eastAsia="Arial" w:hAnsi="Arial"/>
          <w:b/>
          <w:bCs/>
          <w:color w:val="2D6A4F"/>
          <w:sz w:val="26"/>
          <w:szCs w:val="26"/>
        </w:rPr>
        <w:t xml:space="preserve">7.1  Core technology stack</w:t>
      </w:r>
    </w:p>
    <w:p>
      <w:pPr>
        <w:spacing w:after="120" w:before="120" w:line="276"/>
        <w:jc w:val="left"/>
      </w:pPr>
      <w:r>
        <w:rPr>
          <w:rFonts w:ascii="Arial" w:cs="Arial" w:eastAsia="Arial" w:hAnsi="Arial"/>
          <w:b w:val="false"/>
          <w:bCs w:val="false"/>
          <w:i w:val="false"/>
          <w:iCs w:val="false"/>
          <w:color w:val="000000"/>
          <w:sz w:val="22"/>
          <w:szCs w:val="22"/>
        </w:rPr>
        <w:t xml:space="preserve">CEIP is built on a harness-first architecture — meaning the platform's quality and reliability come from its structural design, not from dependence on any single AI model. The LLM is one validated, swappable component inside a larger scaffolded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Development Environment</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Antigravity IDE (Google) + Python 3.11</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Primary development 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Local AI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Ollama on Apple Silicon (M1 Pro)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Free local LLM inference, no API costs</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Generation Model</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Gemma 4 E4B (Google DeepMind, Apache 2.0)</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Evidence synthesis, structured outputs, 128K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Embedding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nomic-embed-text via Ollama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Document vectorisation for semantic search</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Vector Database</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ChromaDB (local persistent)</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Semantic similarity search across 50,000+ chunks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Structured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SQLite → PostgreSQL (scale)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Species, interventions, papers, user data</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RAG Framework</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LangChain + Pydantic contracts</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Harness-engineered retrieval and generation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Web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Streamlit (MVP) → React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Practitioner-facing search and dashboard</w:t>
            </w:r>
          </w:p>
        </w:tc>
      </w:tr>
      <w:tr>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Backend API</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FastAPI + uvicorn</w:t>
            </w:r>
          </w:p>
        </w:tc>
        <w:tc>
          <w:tcPr>
            <w:tcW w:type="dxa" w:w="312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RESTful API for enterprise and developer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Literature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Autonomous Python agent + OpenAlex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Weekly ingestion of new conservation papers</w:t>
            </w:r>
          </w:p>
        </w:tc>
      </w:tr>
    </w:tbl>
    <w:p>
      <w:pPr>
        <w:spacing w:after="80" w:before="0"/>
      </w:pPr>
      <w:r>
        <w:t xml:space="preserve"/>
      </w:r>
    </w:p>
    <w:p>
      <w:pPr>
        <w:pStyle w:val="Heading2"/>
        <w:spacing w:after="100" w:before="260"/>
      </w:pPr>
      <w:r>
        <w:rPr>
          <w:rFonts w:ascii="Arial" w:cs="Arial" w:eastAsia="Arial" w:hAnsi="Arial"/>
          <w:b/>
          <w:bCs/>
          <w:color w:val="2D6A4F"/>
          <w:sz w:val="26"/>
          <w:szCs w:val="26"/>
        </w:rPr>
        <w:t xml:space="preserve">7.2  The harness-first design principle</w:t>
      </w:r>
    </w:p>
    <w:p>
      <w:pPr>
        <w:spacing w:after="120" w:before="120" w:line="276"/>
        <w:jc w:val="left"/>
      </w:pPr>
      <w:r>
        <w:rPr>
          <w:rFonts w:ascii="Arial" w:cs="Arial" w:eastAsia="Arial" w:hAnsi="Arial"/>
          <w:b w:val="false"/>
          <w:bCs w:val="false"/>
          <w:i w:val="false"/>
          <w:iCs w:val="false"/>
          <w:color w:val="000000"/>
          <w:sz w:val="22"/>
          <w:szCs w:val="22"/>
        </w:rPr>
        <w:t xml:space="preserve">CEIP is designed as a </w:t>
      </w:r>
      <w:r>
        <w:rPr>
          <w:rFonts w:ascii="Arial" w:cs="Arial" w:eastAsia="Arial" w:hAnsi="Arial"/>
          <w:b/>
          <w:bCs/>
          <w:i w:val="false"/>
          <w:iCs w:val="false"/>
          <w:color w:val="000000"/>
          <w:sz w:val="22"/>
          <w:szCs w:val="22"/>
        </w:rPr>
        <w:t xml:space="preserve">harness-engineered</w:t>
      </w:r>
      <w:r>
        <w:rPr>
          <w:rFonts w:ascii="Arial" w:cs="Arial" w:eastAsia="Arial" w:hAnsi="Arial"/>
          <w:b w:val="false"/>
          <w:bCs w:val="false"/>
          <w:i w:val="false"/>
          <w:iCs w:val="false"/>
          <w:color w:val="000000"/>
          <w:sz w:val="22"/>
          <w:szCs w:val="22"/>
        </w:rPr>
        <w:t xml:space="preserve"> system, not a prompt-engineered one. This distinction is critical for a platform where conservation decisions depend on output quality:</w:t>
      </w:r>
    </w:p>
    <w:p>
      <w:pPr>
        <w:pStyle w:val="ListParagraph"/>
        <w:numPr>
          <w:ilvl w:val="0"/>
          <w:numId w:val="2"/>
        </w:numPr>
        <w:spacing w:after="60" w:before="60" w:line="276"/>
      </w:pPr>
      <w:r>
        <w:rPr>
          <w:rFonts w:ascii="Arial" w:cs="Arial" w:eastAsia="Arial" w:hAnsi="Arial"/>
          <w:color w:val="000000"/>
          <w:sz w:val="22"/>
          <w:szCs w:val="22"/>
        </w:rPr>
        <w:t xml:space="preserve">All AI outputs are governed by Pydantic data contracts — structured schemas that enforce citation integrity, confidence levels, and evidence strength before any response reaches a user</w:t>
      </w:r>
    </w:p>
    <w:p>
      <w:pPr>
        <w:pStyle w:val="ListParagraph"/>
        <w:numPr>
          <w:ilvl w:val="0"/>
          <w:numId w:val="2"/>
        </w:numPr>
        <w:spacing w:after="60" w:before="60" w:line="276"/>
      </w:pPr>
      <w:r>
        <w:rPr>
          <w:rFonts w:ascii="Arial" w:cs="Arial" w:eastAsia="Arial" w:hAnsi="Arial"/>
          <w:color w:val="000000"/>
          <w:sz w:val="22"/>
          <w:szCs w:val="22"/>
        </w:rPr>
        <w:t xml:space="preserve">A permanent 20-question evaluation dataset (built before any pipeline code) benchmarks quality after every model or architecture change</w:t>
      </w:r>
    </w:p>
    <w:p>
      <w:pPr>
        <w:pStyle w:val="ListParagraph"/>
        <w:numPr>
          <w:ilvl w:val="0"/>
          <w:numId w:val="2"/>
        </w:numPr>
        <w:spacing w:after="60" w:before="60" w:line="276"/>
      </w:pPr>
      <w:r>
        <w:rPr>
          <w:rFonts w:ascii="Arial" w:cs="Arial" w:eastAsia="Arial" w:hAnsi="Arial"/>
          <w:color w:val="000000"/>
          <w:sz w:val="22"/>
          <w:szCs w:val="22"/>
        </w:rPr>
        <w:t xml:space="preserve">Query routing sends simple factual queries to direct database lookups, reserving AI synthesis only for complex multi-source questions</w:t>
      </w:r>
    </w:p>
    <w:p>
      <w:pPr>
        <w:pStyle w:val="ListParagraph"/>
        <w:numPr>
          <w:ilvl w:val="0"/>
          <w:numId w:val="2"/>
        </w:numPr>
        <w:spacing w:after="60" w:before="60" w:line="276"/>
      </w:pPr>
      <w:r>
        <w:rPr>
          <w:rFonts w:ascii="Arial" w:cs="Arial" w:eastAsia="Arial" w:hAnsi="Arial"/>
          <w:color w:val="000000"/>
          <w:sz w:val="22"/>
          <w:szCs w:val="22"/>
        </w:rPr>
        <w:t xml:space="preserve">Every query logs retrieval chunks, generated output, validation result, and user feedback — creating a continuous improvement signal</w:t>
      </w:r>
    </w:p>
    <w:p>
      <w:pPr>
        <w:pStyle w:val="ListParagraph"/>
        <w:numPr>
          <w:ilvl w:val="0"/>
          <w:numId w:val="2"/>
        </w:numPr>
        <w:spacing w:after="60" w:before="60" w:line="276"/>
      </w:pPr>
      <w:r>
        <w:rPr>
          <w:rFonts w:ascii="Arial" w:cs="Arial" w:eastAsia="Arial" w:hAnsi="Arial"/>
          <w:color w:val="000000"/>
          <w:sz w:val="22"/>
          <w:szCs w:val="22"/>
        </w:rPr>
        <w:t xml:space="preserve">The LLM is a swappable component: switching from Gemma 4 to any future model requires changing one configuration line, not rewriting the system</w:t>
      </w:r>
    </w:p>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8.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A3C34"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Key Test</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0 — Environment</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1–2</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Dev environment, all APIs connected, DB schema</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All APIs return 200 OK; Ollama serving embeddings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1 — Data Foundation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15,000+ papers, 3,000+ CE interventions, species-intervention links in SQLite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&gt;80% paper classification accuracy</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2 — Embedding Pipeline</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5–8</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40,000+ chunks in ChromaDB, hybrid retriever</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&gt;80% relevant results on 20-query test 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3 — RAG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8–11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Full question-to-cited-answer pipeline with Pydantic contracts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&gt;70% CE-grounded accuracy; &lt;10% hallucination rate</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4 — Web MVP</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11–14</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Streamlit app live, 10 beta users, feedback collection</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&gt;60% positive user feedback; &lt;2% error 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5 — Living Data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14–16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Automated weekly ingestion, user project registration, alerts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New papers queryable within 24h of publication</w:t>
            </w:r>
          </w:p>
        </w:tc>
      </w:tr>
      <w:tr>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bCs/>
                <w:color w:val="1A3C34"/>
                <w:sz w:val="19"/>
                <w:szCs w:val="19"/>
              </w:rPr>
              <w:t xml:space="preserve">Phase 6 — Enterprise Layer</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Weeks 16–20</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FastAPI backend, TNFD module, API access, first enterprise pilot</w:t>
            </w:r>
          </w:p>
        </w:tc>
        <w:tc>
          <w:tcPr>
            <w:tcW w:type="dxa" w:w="2340"/>
            <w:tcBorders>
              <w:top w:val="single" w:color="CCCCCC" w:sz="1"/>
              <w:left w:val="single" w:color="CCCCCC" w:sz="1"/>
              <w:bottom w:val="single" w:color="CCCCCC" w:sz="1"/>
              <w:right w:val="single" w:color="CCCCCC" w:sz="1"/>
            </w:tcBorders>
            <w:shd w:fill="F4F6F5" w:val="clear"/>
            <w:tcMar>
              <w:top w:type="dxa" w:w="80"/>
              <w:left w:type="dxa" w:w="160"/>
              <w:bottom w:type="dxa" w:w="80"/>
              <w:right w:type="dxa" w:w="120"/>
            </w:tcMar>
          </w:tcPr>
          <w:p>
            <w:pPr>
              <w:spacing w:after="0" w:before="0"/>
            </w:pPr>
            <w:r>
              <w:rPr>
                <w:rFonts w:ascii="Arial" w:cs="Arial" w:eastAsia="Arial" w:hAnsi="Arial"/>
                <w:b w:val="false"/>
                <w:bCs w:val="false"/>
                <w:color w:val="000000"/>
                <w:sz w:val="19"/>
                <w:szCs w:val="19"/>
              </w:rPr>
              <w:t xml:space="preserve">TNFD report quality reviewed by domain expert</w:t>
            </w:r>
          </w:p>
        </w:tc>
      </w:tr>
    </w:tbl>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9.  Strategic Partnerships</w:t>
      </w:r>
    </w:p>
    <w:p>
      <w:pPr>
        <w:spacing w:after="120" w:before="120" w:line="276"/>
        <w:jc w:val="left"/>
      </w:pPr>
      <w:r>
        <w:rPr>
          <w:rFonts w:ascii="Arial" w:cs="Arial" w:eastAsia="Arial" w:hAnsi="Arial"/>
          <w:b w:val="false"/>
          <w:bCs w:val="false"/>
          <w:i w:val="false"/>
          <w:iCs w:val="false"/>
          <w:color w:val="000000"/>
          <w:sz w:val="22"/>
          <w:szCs w:val="22"/>
        </w:rPr>
        <w:t xml:space="preserve">CEIP is designed to complement and integrate with existing institutions rather than compete with them. The following partnerships are critical to the platform's success:</w:t>
      </w:r>
    </w:p>
    <w:p>
      <w:pPr>
        <w:spacing w:after="80" w:before="0"/>
      </w:pPr>
      <w:r>
        <w:t xml:space="preserve"/>
      </w:r>
    </w:p>
    <w:p>
      <w:pPr>
        <w:pStyle w:val="Heading3"/>
        <w:spacing w:after="80" w:before="200"/>
      </w:pPr>
      <w:r>
        <w:rPr>
          <w:rFonts w:ascii="Arial" w:cs="Arial" w:eastAsia="Arial" w:hAnsi="Arial"/>
          <w:b/>
          <w:bCs/>
          <w:color w:val="40916C"/>
          <w:sz w:val="22"/>
          <w:szCs w:val="22"/>
        </w:rPr>
        <w:t xml:space="preserve">Conservation Evidence — University of Cambridge</w:t>
      </w:r>
    </w:p>
    <w:p>
      <w:pPr>
        <w:spacing w:after="120" w:before="120" w:line="276"/>
        <w:jc w:val="left"/>
      </w:pPr>
      <w:r>
        <w:rPr>
          <w:rFonts w:ascii="Arial" w:cs="Arial" w:eastAsia="Arial" w:hAnsi="Arial"/>
          <w:b w:val="false"/>
          <w:bCs w:val="false"/>
          <w:i w:val="false"/>
          <w:iCs w:val="false"/>
          <w:color w:val="000000"/>
          <w:sz w:val="22"/>
          <w:szCs w:val="22"/>
        </w:rPr>
        <w:t xml:space="preserve">Professor Bill Sutherland's group at Cambridge owns the world's most comprehensive conservation intervention database and is building the Conservation CoPilot AI tool. CEIP proposes a </w:t>
      </w:r>
      <w:r>
        <w:rPr>
          <w:rFonts w:ascii="Arial" w:cs="Arial" w:eastAsia="Arial" w:hAnsi="Arial"/>
          <w:b/>
          <w:bCs/>
          <w:i w:val="false"/>
          <w:iCs w:val="false"/>
          <w:color w:val="000000"/>
          <w:sz w:val="22"/>
          <w:szCs w:val="22"/>
        </w:rPr>
        <w:t xml:space="preserve">collaborative partnership</w:t>
      </w:r>
      <w:r>
        <w:rPr>
          <w:rFonts w:ascii="Arial" w:cs="Arial" w:eastAsia="Arial" w:hAnsi="Arial"/>
          <w:b w:val="false"/>
          <w:bCs w:val="false"/>
          <w:i w:val="false"/>
          <w:iCs w:val="false"/>
          <w:color w:val="000000"/>
          <w:sz w:val="22"/>
          <w:szCs w:val="22"/>
        </w:rPr>
        <w:t xml:space="preserve">: CEIP provides commercial-grade product execution, UX design, and AI engineering; Cambridge provides scientific credibility, direct access to the full evidence database, and their Evidence Champions network of 600+ organisations as distribution. This is complementary, not competitive.</w:t>
      </w:r>
    </w:p>
    <w:p>
      <w:pPr>
        <w:spacing w:after="80" w:before="0"/>
      </w:pPr>
      <w:r>
        <w:t xml:space="preserve"/>
      </w:r>
    </w:p>
    <w:p>
      <w:pPr>
        <w:pStyle w:val="Heading3"/>
        <w:spacing w:after="80" w:before="200"/>
      </w:pPr>
      <w:r>
        <w:rPr>
          <w:rFonts w:ascii="Arial" w:cs="Arial" w:eastAsia="Arial" w:hAnsi="Arial"/>
          <w:b/>
          <w:bCs/>
          <w:color w:val="40916C"/>
          <w:sz w:val="22"/>
          <w:szCs w:val="22"/>
        </w:rPr>
        <w:t xml:space="preserve">TNFD (Taskforce on Nature-related Financial Disclosures)</w:t>
      </w:r>
    </w:p>
    <w:p>
      <w:pPr>
        <w:spacing w:after="120" w:before="120" w:line="276"/>
        <w:jc w:val="left"/>
      </w:pPr>
      <w:r>
        <w:rPr>
          <w:rFonts w:ascii="Arial" w:cs="Arial" w:eastAsia="Arial" w:hAnsi="Arial"/>
          <w:b w:val="false"/>
          <w:bCs w:val="false"/>
          <w:i w:val="false"/>
          <w:iCs w:val="false"/>
          <w:color w:val="000000"/>
          <w:sz w:val="22"/>
          <w:szCs w:val="22"/>
        </w:rPr>
        <w:t xml:space="preserve">Listing in the TNFD Tools Catalogue provides immediate discovery by 500+ early adopting organisations and positions CEIP as the evidence layer for nature-related corporate disclosure. Priority partnership for the enterprise module launch.</w:t>
      </w:r>
    </w:p>
    <w:p>
      <w:pPr>
        <w:spacing w:after="80" w:before="0"/>
      </w:pPr>
      <w:r>
        <w:t xml:space="preserve"/>
      </w:r>
    </w:p>
    <w:p>
      <w:pPr>
        <w:pStyle w:val="Heading3"/>
        <w:spacing w:after="80" w:before="200"/>
      </w:pPr>
      <w:r>
        <w:rPr>
          <w:rFonts w:ascii="Arial" w:cs="Arial" w:eastAsia="Arial" w:hAnsi="Arial"/>
          <w:b/>
          <w:bCs/>
          <w:color w:val="40916C"/>
          <w:sz w:val="22"/>
          <w:szCs w:val="22"/>
        </w:rPr>
        <w:t xml:space="preserve">IUCN / IBAT Alliance</w:t>
      </w:r>
    </w:p>
    <w:p>
      <w:pPr>
        <w:spacing w:after="120" w:before="120" w:line="276"/>
        <w:jc w:val="left"/>
      </w:pPr>
      <w:r>
        <w:rPr>
          <w:rFonts w:ascii="Arial" w:cs="Arial" w:eastAsia="Arial" w:hAnsi="Arial"/>
          <w:b w:val="false"/>
          <w:bCs w:val="false"/>
          <w:i w:val="false"/>
          <w:iCs w:val="false"/>
          <w:color w:val="000000"/>
          <w:sz w:val="22"/>
          <w:szCs w:val="22"/>
        </w:rPr>
        <w:t xml:space="preserve">Integration with IBAT's STAR metric and species risk data creates a combined platform covering both risk exposure (what species are threatened) and intervention evidence (what actually helps them). IBAT already charges £50,000+/year to enterprise clients — CEIP adds the missing evidence layer.</w:t>
      </w:r>
    </w:p>
    <w:p>
      <w:pPr>
        <w:spacing w:after="80" w:before="0"/>
      </w:pPr>
      <w:r>
        <w:t xml:space="preserve"/>
      </w:r>
    </w:p>
    <w:p>
      <w:pPr>
        <w:pStyle w:val="Heading3"/>
        <w:spacing w:after="80" w:before="200"/>
      </w:pPr>
      <w:r>
        <w:rPr>
          <w:rFonts w:ascii="Arial" w:cs="Arial" w:eastAsia="Arial" w:hAnsi="Arial"/>
          <w:b/>
          <w:bCs/>
          <w:color w:val="40916C"/>
          <w:sz w:val="22"/>
          <w:szCs w:val="22"/>
        </w:rPr>
        <w:t xml:space="preserve">Biodiversity Credit Alliance (UNEP/UNDP)</w:t>
      </w:r>
    </w:p>
    <w:p>
      <w:pPr>
        <w:spacing w:after="120" w:before="120" w:line="276"/>
        <w:jc w:val="left"/>
      </w:pPr>
      <w:r>
        <w:rPr>
          <w:rFonts w:ascii="Arial" w:cs="Arial" w:eastAsia="Arial" w:hAnsi="Arial"/>
          <w:b w:val="false"/>
          <w:bCs w:val="false"/>
          <w:i w:val="false"/>
          <w:iCs w:val="false"/>
          <w:color w:val="000000"/>
          <w:sz w:val="22"/>
          <w:szCs w:val="22"/>
        </w:rPr>
        <w:t xml:space="preserve">The emerging biodiversity credit market requires evidence infrastructure for MRV. CEIP's evidence synthesis engine can provide the scientific backing that credit schemes need to establish credibility and attract institutional investors.</w:t>
      </w:r>
    </w:p>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10.  Market Context and Competitive Landscape</w:t>
      </w:r>
    </w:p>
    <w:p>
      <w:pPr>
        <w:spacing w:after="120" w:before="120" w:line="276"/>
        <w:jc w:val="left"/>
      </w:pPr>
      <w:r>
        <w:rPr>
          <w:rFonts w:ascii="Arial" w:cs="Arial" w:eastAsia="Arial" w:hAnsi="Arial"/>
          <w:b w:val="false"/>
          <w:bCs w:val="false"/>
          <w:i w:val="false"/>
          <w:iCs w:val="false"/>
          <w:color w:val="000000"/>
          <w:sz w:val="22"/>
          <w:szCs w:val="22"/>
        </w:rPr>
        <w:t xml:space="preserve">Three converging forces create a time-limited opportunity for CEIP:</w:t>
      </w:r>
    </w:p>
    <w:p>
      <w:pPr>
        <w:spacing w:after="80" w:before="0"/>
      </w:pPr>
      <w:r>
        <w:t xml:space="preserve"/>
      </w:r>
    </w:p>
    <w:p>
      <w:pPr>
        <w:pStyle w:val="Heading3"/>
        <w:spacing w:after="80" w:before="200"/>
      </w:pPr>
      <w:r>
        <w:rPr>
          <w:rFonts w:ascii="Arial" w:cs="Arial" w:eastAsia="Arial" w:hAnsi="Arial"/>
          <w:b/>
          <w:bCs/>
          <w:color w:val="40916C"/>
          <w:sz w:val="22"/>
          <w:szCs w:val="22"/>
        </w:rPr>
        <w:t xml:space="preserve">Regulatory demand</w:t>
      </w:r>
    </w:p>
    <w:p>
      <w:pPr>
        <w:spacing w:after="120" w:before="120" w:line="276"/>
        <w:jc w:val="left"/>
      </w:pPr>
      <w:r>
        <w:rPr>
          <w:rFonts w:ascii="Arial" w:cs="Arial" w:eastAsia="Arial" w:hAnsi="Arial"/>
          <w:b w:val="false"/>
          <w:bCs w:val="false"/>
          <w:i w:val="false"/>
          <w:iCs w:val="false"/>
          <w:color w:val="000000"/>
          <w:sz w:val="22"/>
          <w:szCs w:val="22"/>
        </w:rPr>
        <w:t xml:space="preserve">TNFD (September 2023), EU CSRD/ESRS E4 (effective 2025), and GRI 101 Biodiversity (effective January 2026) require thousands of organisations to demonstrate evidence-based conservation action. These organisations have budgets, legal obligations, and no existing tools that connect evidence to action. The biodiversity technology market is projected to reach $22.8 billion by 2030.</w:t>
      </w:r>
    </w:p>
    <w:p>
      <w:pPr>
        <w:spacing w:after="80" w:before="0"/>
      </w:pPr>
      <w:r>
        <w:t xml:space="preserve"/>
      </w:r>
    </w:p>
    <w:p>
      <w:pPr>
        <w:pStyle w:val="Heading3"/>
        <w:spacing w:after="80" w:before="200"/>
      </w:pPr>
      <w:r>
        <w:rPr>
          <w:rFonts w:ascii="Arial" w:cs="Arial" w:eastAsia="Arial" w:hAnsi="Arial"/>
          <w:b/>
          <w:bCs/>
          <w:color w:val="40916C"/>
          <w:sz w:val="22"/>
          <w:szCs w:val="22"/>
        </w:rPr>
        <w:t xml:space="preserve">AI maturity</w:t>
      </w:r>
    </w:p>
    <w:p>
      <w:pPr>
        <w:spacing w:after="120" w:before="120" w:line="276"/>
        <w:jc w:val="left"/>
      </w:pPr>
      <w:r>
        <w:rPr>
          <w:rFonts w:ascii="Arial" w:cs="Arial" w:eastAsia="Arial" w:hAnsi="Arial"/>
          <w:b w:val="false"/>
          <w:bCs w:val="false"/>
          <w:i w:val="false"/>
          <w:iCs w:val="false"/>
          <w:color w:val="000000"/>
          <w:sz w:val="22"/>
          <w:szCs w:val="22"/>
        </w:rPr>
        <w:t xml:space="preserve">A 2025 study from the University of Cambridge benchmarked 10 LLMs on conservation evidence retrieval and found several matched or exceeded human expert performance. Gemma 4 (released April 2026) brings 128K context windows, native structured outputs, and multimodal capabilities to local offline inference. The technical foundation for CEIP is ready today.</w:t>
      </w:r>
    </w:p>
    <w:p>
      <w:pPr>
        <w:spacing w:after="80" w:before="0"/>
      </w:pPr>
      <w:r>
        <w:t xml:space="preserve"/>
      </w:r>
    </w:p>
    <w:p>
      <w:pPr>
        <w:pStyle w:val="Heading3"/>
        <w:spacing w:after="80" w:before="200"/>
      </w:pPr>
      <w:r>
        <w:rPr>
          <w:rFonts w:ascii="Arial" w:cs="Arial" w:eastAsia="Arial" w:hAnsi="Arial"/>
          <w:b/>
          <w:bCs/>
          <w:color w:val="40916C"/>
          <w:sz w:val="22"/>
          <w:szCs w:val="22"/>
        </w:rPr>
        <w:t xml:space="preserve">A structural vacuum</w:t>
      </w:r>
    </w:p>
    <w:p>
      <w:pPr>
        <w:spacing w:after="120" w:before="120" w:line="276"/>
        <w:jc w:val="left"/>
      </w:pPr>
      <w:r>
        <w:rPr>
          <w:rFonts w:ascii="Arial" w:cs="Arial" w:eastAsia="Arial" w:hAnsi="Arial"/>
          <w:b w:val="false"/>
          <w:bCs w:val="false"/>
          <w:i w:val="false"/>
          <w:iCs w:val="false"/>
          <w:color w:val="000000"/>
          <w:sz w:val="22"/>
          <w:szCs w:val="22"/>
        </w:rPr>
        <w:t xml:space="preserve">Despite 75 person-years of effort building Conservation Evidence and billions invested in biodiversity data infrastructure globally, no product connects intervention evidence to practitioner decisions at scale through AI. The Cambridge CoPilot is the closest attempt but remains an academic project without commercial execution. This gap — between evidence that exists and practitioners who need it — is the opportunity CEIP is built to close.</w:t>
      </w:r>
    </w:p>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11.  Team</w:t>
      </w:r>
    </w:p>
    <w:p>
      <w:pPr>
        <w:spacing w:after="120" w:before="120" w:line="276"/>
        <w:jc w:val="left"/>
      </w:pPr>
      <w:r>
        <w:rPr>
          <w:rFonts w:ascii="Arial" w:cs="Arial" w:eastAsia="Arial" w:hAnsi="Arial"/>
          <w:b w:val="false"/>
          <w:bCs w:val="false"/>
          <w:i w:val="false"/>
          <w:iCs w:val="false"/>
          <w:color w:val="000000"/>
          <w:sz w:val="22"/>
          <w:szCs w:val="22"/>
        </w:rPr>
        <w:t xml:space="preserve">CEIP is founded by a conservation practitioner and researcher with direct field experience across multiple ecosystems, combined with hands-on capability in AI tool development using Claude Code, Python, and large language model infrastructure. This dual expertise — conservation domain knowledge and AI engineering skill — is the combination that makes CEIP credible and buildable.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4"/>
              <w:left w:val="none" w:color="FFFFFF" w:sz="0"/>
              <w:bottom w:val="single" w:color="CCCCCC" w:sz="1"/>
              <w:right w:val="none" w:color="FFFFFF" w:sz="0"/>
            </w:tcBorders>
            <w:shd w:fill="EAF5EE" w:val="clear"/>
            <w:tcMar>
              <w:top w:type="dxa" w:w="120"/>
              <w:left w:type="dxa" w:w="200"/>
              <w:bottom w:type="dxa" w:w="120"/>
              <w:right w:type="dxa" w:w="200"/>
            </w:tcMar>
          </w:tcPr>
          <w:p>
            <w:pPr>
              <w:spacing w:after="0" w:before="0" w:line="276"/>
            </w:pPr>
            <w:r>
              <w:rPr>
                <w:rFonts w:ascii="Arial" w:cs="Arial" w:eastAsia="Arial" w:hAnsi="Arial"/>
                <w:b/>
                <w:bCs/>
                <w:color w:val="1A3C34"/>
                <w:sz w:val="22"/>
                <w:szCs w:val="22"/>
              </w:rPr>
              <w:t xml:space="preserve">Looking for:  </w:t>
            </w:r>
            <w:r>
              <w:rPr>
                <w:rFonts w:ascii="Arial" w:cs="Arial" w:eastAsia="Arial" w:hAnsi="Arial"/>
                <w:color w:val="000000"/>
                <w:sz w:val="22"/>
                <w:szCs w:val="22"/>
              </w:rPr>
              <w:t xml:space="preserve">A technical co-founder or senior developer with backend/infrastructure experience, a conservation science advisor with systematic review expertise, and initial grant or angel funding to support a 6-month MVP build. Open to institutional partnerships with organisations sharing the mission.</w:t>
            </w:r>
          </w:p>
        </w:tc>
      </w:tr>
    </w:tbl>
    <w:p>
      <w:pPr>
        <w:spacing w:after="160" w:before="0"/>
      </w:pPr>
      <w:r>
        <w:t xml:space="preserve"/>
      </w:r>
    </w:p>
    <w:p>
      <w:pPr>
        <w:pStyle w:val="Heading1"/>
        <w:pBdr>
          <w:bottom w:val="single" w:color="2D6A4F" w:sz="8" w:space="4"/>
        </w:pBdr>
        <w:spacing w:after="160" w:before="320"/>
      </w:pPr>
      <w:r>
        <w:rPr>
          <w:rFonts w:ascii="Arial" w:cs="Arial" w:eastAsia="Arial" w:hAnsi="Arial"/>
          <w:b/>
          <w:bCs/>
          <w:color w:val="1A3C34"/>
          <w:sz w:val="32"/>
          <w:szCs w:val="32"/>
        </w:rPr>
        <w:t xml:space="preserve">12.  Next Steps</w:t>
      </w:r>
    </w:p>
    <w:p>
      <w:pPr>
        <w:pStyle w:val="Heading2"/>
        <w:spacing w:after="100" w:before="260"/>
      </w:pPr>
      <w:r>
        <w:rPr>
          <w:rFonts w:ascii="Arial" w:cs="Arial" w:eastAsia="Arial" w:hAnsi="Arial"/>
          <w:b/>
          <w:bCs/>
          <w:color w:val="2D6A4F"/>
          <w:sz w:val="26"/>
          <w:szCs w:val="26"/>
        </w:rPr>
        <w:t xml:space="preserve">Immediate (Month 1)</w:t>
      </w:r>
    </w:p>
    <w:p>
      <w:pPr>
        <w:pStyle w:val="ListParagraph"/>
        <w:numPr>
          <w:ilvl w:val="0"/>
          <w:numId w:val="2"/>
        </w:numPr>
        <w:spacing w:after="60" w:before="60" w:line="276"/>
      </w:pPr>
      <w:r>
        <w:rPr>
          <w:rFonts w:ascii="Arial" w:cs="Arial" w:eastAsia="Arial" w:hAnsi="Arial"/>
          <w:color w:val="000000"/>
          <w:sz w:val="22"/>
          <w:szCs w:val="22"/>
        </w:rPr>
        <w:t xml:space="preserve">Complete Phase 0–1 of the technical build: environment setup, data ingestion, SQLite database</w:t>
      </w:r>
    </w:p>
    <w:p>
      <w:pPr>
        <w:pStyle w:val="ListParagraph"/>
        <w:numPr>
          <w:ilvl w:val="0"/>
          <w:numId w:val="2"/>
        </w:numPr>
        <w:spacing w:after="60" w:before="60" w:line="276"/>
      </w:pPr>
      <w:r>
        <w:rPr>
          <w:rFonts w:ascii="Arial" w:cs="Arial" w:eastAsia="Arial" w:hAnsi="Arial"/>
          <w:color w:val="000000"/>
          <w:sz w:val="22"/>
          <w:szCs w:val="22"/>
        </w:rPr>
        <w:t xml:space="preserve">Establish formal contact with the Conservation Evidence team at Cambridge</w:t>
      </w:r>
    </w:p>
    <w:p>
      <w:pPr>
        <w:pStyle w:val="ListParagraph"/>
        <w:numPr>
          <w:ilvl w:val="0"/>
          <w:numId w:val="2"/>
        </w:numPr>
        <w:spacing w:after="60" w:before="60" w:line="276"/>
      </w:pPr>
      <w:r>
        <w:rPr>
          <w:rFonts w:ascii="Arial" w:cs="Arial" w:eastAsia="Arial" w:hAnsi="Arial"/>
          <w:color w:val="000000"/>
          <w:sz w:val="22"/>
          <w:szCs w:val="22"/>
        </w:rPr>
        <w:t xml:space="preserve">Apply to Bezos Earth Fund AI Grand Challenge Phase I</w:t>
      </w:r>
    </w:p>
    <w:p>
      <w:pPr>
        <w:pStyle w:val="ListParagraph"/>
        <w:numPr>
          <w:ilvl w:val="0"/>
          <w:numId w:val="2"/>
        </w:numPr>
        <w:spacing w:after="60" w:before="60" w:line="276"/>
      </w:pPr>
      <w:r>
        <w:rPr>
          <w:rFonts w:ascii="Arial" w:cs="Arial" w:eastAsia="Arial" w:hAnsi="Arial"/>
          <w:color w:val="000000"/>
          <w:sz w:val="22"/>
          <w:szCs w:val="22"/>
        </w:rPr>
        <w:t xml:space="preserve">Register CEIP in the TNFD Tools Catalogue enquiry process</w:t>
      </w:r>
    </w:p>
    <w:p>
      <w:pPr>
        <w:spacing w:after="80" w:before="0"/>
      </w:pPr>
      <w:r>
        <w:t xml:space="preserve"/>
      </w:r>
    </w:p>
    <w:p>
      <w:pPr>
        <w:pStyle w:val="Heading2"/>
        <w:spacing w:after="100" w:before="260"/>
      </w:pPr>
      <w:r>
        <w:rPr>
          <w:rFonts w:ascii="Arial" w:cs="Arial" w:eastAsia="Arial" w:hAnsi="Arial"/>
          <w:b/>
          <w:bCs/>
          <w:color w:val="2D6A4F"/>
          <w:sz w:val="26"/>
          <w:szCs w:val="26"/>
        </w:rPr>
        <w:t xml:space="preserve">Short-term (Months 2–4)</w:t>
      </w:r>
    </w:p>
    <w:p>
      <w:pPr>
        <w:pStyle w:val="ListParagraph"/>
        <w:numPr>
          <w:ilvl w:val="0"/>
          <w:numId w:val="2"/>
        </w:numPr>
        <w:spacing w:after="60" w:before="60" w:line="276"/>
      </w:pPr>
      <w:r>
        <w:rPr>
          <w:rFonts w:ascii="Arial" w:cs="Arial" w:eastAsia="Arial" w:hAnsi="Arial"/>
          <w:color w:val="000000"/>
          <w:sz w:val="22"/>
          <w:szCs w:val="22"/>
        </w:rPr>
        <w:t xml:space="preserve">Complete Phase 2–3: embedding pipeline and RAG reasoning system with harness-first architecture</w:t>
      </w:r>
    </w:p>
    <w:p>
      <w:pPr>
        <w:pStyle w:val="ListParagraph"/>
        <w:numPr>
          <w:ilvl w:val="0"/>
          <w:numId w:val="2"/>
        </w:numPr>
        <w:spacing w:after="60" w:before="60" w:line="276"/>
      </w:pPr>
      <w:r>
        <w:rPr>
          <w:rFonts w:ascii="Arial" w:cs="Arial" w:eastAsia="Arial" w:hAnsi="Arial"/>
          <w:color w:val="000000"/>
          <w:sz w:val="22"/>
          <w:szCs w:val="22"/>
        </w:rPr>
        <w:t xml:space="preserve">Recruit 10 beta practitioners from WILDLABS.NET and Conservation Evidence Champions network</w:t>
      </w:r>
    </w:p>
    <w:p>
      <w:pPr>
        <w:pStyle w:val="ListParagraph"/>
        <w:numPr>
          <w:ilvl w:val="0"/>
          <w:numId w:val="2"/>
        </w:numPr>
        <w:spacing w:after="60" w:before="60" w:line="276"/>
      </w:pPr>
      <w:r>
        <w:rPr>
          <w:rFonts w:ascii="Arial" w:cs="Arial" w:eastAsia="Arial" w:hAnsi="Arial"/>
          <w:color w:val="000000"/>
          <w:sz w:val="22"/>
          <w:szCs w:val="22"/>
        </w:rPr>
        <w:t xml:space="preserve">Launch Streamlit MVP and begin user feedback collection</w:t>
      </w:r>
    </w:p>
    <w:p>
      <w:pPr>
        <w:pStyle w:val="ListParagraph"/>
        <w:numPr>
          <w:ilvl w:val="0"/>
          <w:numId w:val="2"/>
        </w:numPr>
        <w:spacing w:after="60" w:before="60" w:line="276"/>
      </w:pPr>
      <w:r>
        <w:rPr>
          <w:rFonts w:ascii="Arial" w:cs="Arial" w:eastAsia="Arial" w:hAnsi="Arial"/>
          <w:color w:val="000000"/>
          <w:sz w:val="22"/>
          <w:szCs w:val="22"/>
        </w:rPr>
        <w:t xml:space="preserve">Submit Google.org Impact Challenge application</w:t>
      </w:r>
    </w:p>
    <w:p>
      <w:pPr>
        <w:spacing w:after="80" w:before="0"/>
      </w:pPr>
      <w:r>
        <w:t xml:space="preserve"/>
      </w:r>
    </w:p>
    <w:p>
      <w:pPr>
        <w:pStyle w:val="Heading2"/>
        <w:spacing w:after="100" w:before="260"/>
      </w:pPr>
      <w:r>
        <w:rPr>
          <w:rFonts w:ascii="Arial" w:cs="Arial" w:eastAsia="Arial" w:hAnsi="Arial"/>
          <w:b/>
          <w:bCs/>
          <w:color w:val="2D6A4F"/>
          <w:sz w:val="26"/>
          <w:szCs w:val="26"/>
        </w:rPr>
        <w:t xml:space="preserve">Medium-term (Months 5–8)</w:t>
      </w:r>
    </w:p>
    <w:p>
      <w:pPr>
        <w:pStyle w:val="ListParagraph"/>
        <w:numPr>
          <w:ilvl w:val="0"/>
          <w:numId w:val="2"/>
        </w:numPr>
        <w:spacing w:after="60" w:before="60" w:line="276"/>
      </w:pPr>
      <w:r>
        <w:rPr>
          <w:rFonts w:ascii="Arial" w:cs="Arial" w:eastAsia="Arial" w:hAnsi="Arial"/>
          <w:color w:val="000000"/>
          <w:sz w:val="22"/>
          <w:szCs w:val="22"/>
        </w:rPr>
        <w:t xml:space="preserve">Complete Phase 4–6: living data agent, enterprise layer, FastAPI backend</w:t>
      </w:r>
    </w:p>
    <w:p>
      <w:pPr>
        <w:pStyle w:val="ListParagraph"/>
        <w:numPr>
          <w:ilvl w:val="0"/>
          <w:numId w:val="2"/>
        </w:numPr>
        <w:spacing w:after="60" w:before="60" w:line="276"/>
      </w:pPr>
      <w:r>
        <w:rPr>
          <w:rFonts w:ascii="Arial" w:cs="Arial" w:eastAsia="Arial" w:hAnsi="Arial"/>
          <w:color w:val="000000"/>
          <w:sz w:val="22"/>
          <w:szCs w:val="22"/>
        </w:rPr>
        <w:t xml:space="preserve">Sign first 3 enterprise pilot agreements (NGO, corporate sustainability team, funder)</w:t>
      </w:r>
    </w:p>
    <w:p>
      <w:pPr>
        <w:pStyle w:val="ListParagraph"/>
        <w:numPr>
          <w:ilvl w:val="0"/>
          <w:numId w:val="2"/>
        </w:numPr>
        <w:spacing w:after="60" w:before="60" w:line="276"/>
      </w:pPr>
      <w:r>
        <w:rPr>
          <w:rFonts w:ascii="Arial" w:cs="Arial" w:eastAsia="Arial" w:hAnsi="Arial"/>
          <w:color w:val="000000"/>
          <w:sz w:val="22"/>
          <w:szCs w:val="22"/>
        </w:rPr>
        <w:t xml:space="preserve">Formalise Cambridge partnership with data sharing and co-development agreement</w:t>
      </w:r>
    </w:p>
    <w:p>
      <w:pPr>
        <w:pStyle w:val="ListParagraph"/>
        <w:numPr>
          <w:ilvl w:val="0"/>
          <w:numId w:val="2"/>
        </w:numPr>
        <w:spacing w:after="60" w:before="60" w:line="276"/>
      </w:pPr>
      <w:r>
        <w:rPr>
          <w:rFonts w:ascii="Arial" w:cs="Arial" w:eastAsia="Arial" w:hAnsi="Arial"/>
          <w:color w:val="000000"/>
          <w:sz w:val="22"/>
          <w:szCs w:val="22"/>
        </w:rPr>
        <w:t xml:space="preserve">Present at Society for Conservation Biology Annual Meeting and IUCN Congress</w:t>
      </w:r>
    </w:p>
    <w:p>
      <w:pPr>
        <w:spacing w:after="160" w:before="0"/>
      </w:pPr>
      <w:r>
        <w:t xml:space="preserve"/>
      </w:r>
    </w:p>
    <w:p>
      <w:pPr>
        <w:pBdr>
          <w:top w:val="single" w:color="40916C" w:sz="4" w:space="8"/>
          <w:bottom w:val="single" w:color="40916C" w:sz="4" w:space="8"/>
        </w:pBdr>
        <w:spacing w:after="240" w:before="240"/>
        <w:jc w:val="center"/>
      </w:pPr>
      <w:r>
        <w:rPr>
          <w:rFonts w:ascii="Arial" w:cs="Arial" w:eastAsia="Arial" w:hAnsi="Arial"/>
          <w:b/>
          <w:bCs/>
          <w:i/>
          <w:iCs/>
          <w:color w:val="1A3C34"/>
          <w:sz w:val="24"/>
          <w:szCs w:val="24"/>
        </w:rPr>
        <w:t xml:space="preserve">The conservation community has the evidence. Practitioners need the access. AI provides the bridge. CEIP is that bridge.</w:t>
      </w:r>
    </w:p>
    <w:p>
      <w:pPr>
        <w:spacing w:after="160" w:before="0"/>
      </w:pPr>
      <w:r>
        <w:t xml:space="preserve"/>
      </w:r>
    </w:p>
    <w:p>
      <w:pPr>
        <w:spacing w:after="120" w:before="120" w:line="276"/>
        <w:jc w:val="center"/>
      </w:pPr>
      <w:r>
        <w:rPr>
          <w:rFonts w:ascii="Arial" w:cs="Arial" w:eastAsia="Arial" w:hAnsi="Arial"/>
          <w:b w:val="false"/>
          <w:bCs w:val="false"/>
          <w:i/>
          <w:iCs/>
          <w:color w:val="6C757D"/>
          <w:sz w:val="22"/>
          <w:szCs w:val="22"/>
        </w:rPr>
        <w:t xml:space="preserve">This concept note is a confidential draft prepared for partnership discussions and grant applications. </w:t>
      </w:r>
      <w:r>
        <w:rPr>
          <w:rFonts w:ascii="Arial" w:cs="Arial" w:eastAsia="Arial" w:hAnsi="Arial"/>
          <w:b w:val="false"/>
          <w:bCs w:val="false"/>
          <w:i/>
          <w:iCs/>
          <w:color w:val="6C757D"/>
          <w:sz w:val="22"/>
          <w:szCs w:val="22"/>
        </w:rPr>
        <w:t xml:space="preserve">Version 1.0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4"/>
      </w:pBdr>
      <w:spacing w:after="0" w:before="160"/>
    </w:pPr>
    <w:r>
      <w:rPr>
        <w:rFonts w:ascii="Arial" w:cs="Arial" w:eastAsia="Arial" w:hAnsi="Arial"/>
        <w:color w:val="6C757D"/>
        <w:sz w:val="18"/>
        <w:szCs w:val="18"/>
      </w:rPr>
      <w:t xml:space="preserve">Conservation Effectiveness Intelligence Platform  |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4"/>
      </w:pBdr>
      <w:spacing w:after="160" w:before="0"/>
    </w:pPr>
    <w:r>
      <w:rPr>
        <w:rFonts w:ascii="Arial" w:cs="Arial" w:eastAsia="Arial" w:hAnsi="Arial"/>
        <w:color w:val="6C757D"/>
        <w:sz w:val="18"/>
        <w:szCs w:val="18"/>
      </w:rPr>
      <w:t xml:space="preserve">CEIP  |  Concept Note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34"/>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2026-04-04T21:35:39.803Z</dcterms:created>
  <dcterms:modified xsi:type="dcterms:W3CDTF">2026-04-04T21:35:39.803Z</dcterms:modified>
</cp:coreProperties>
</file>

<file path=docProps/custom.xml><?xml version="1.0" encoding="utf-8"?>
<Properties xmlns="http://schemas.openxmlformats.org/officeDocument/2006/custom-properties" xmlns:vt="http://schemas.openxmlformats.org/officeDocument/2006/docPropsVTypes"/>
</file>