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Politique des Notes de Frais</w:t>
      </w:r>
    </w:p>
    <w:p/>
    <w:p>
      <w:r>
        <w:t>Les frais de déplacement professionnel sont remboursables.</w:t>
      </w:r>
    </w:p>
    <w:p>
      <w:r>
        <w:t>Les justificatifs doivent être fournis dans les 30 jours.</w:t>
      </w:r>
    </w:p>
    <w:p>
      <w:r>
        <w:t>Les repas d'affaires sont remboursés selon les plafonds définis.</w:t>
      </w:r>
    </w:p>
    <w:p>
      <w:r>
        <w:t>Toute dépense exceptionnelle nécessite une validation préalable.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