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9"/>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3750"/>
        <w:gridCol w:w="340"/>
        <w:gridCol w:w="7190"/>
      </w:tblGrid>
      <w:tr w14:paraId="5B737AB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c>
          <w:tcPr>
            <w:tcW w:w="3750" w:type="dxa"/>
            <w:tcBorders>
              <w:top w:val="nil"/>
              <w:left w:val="nil"/>
              <w:bottom w:val="nil"/>
              <w:right w:val="nil"/>
            </w:tcBorders>
          </w:tcPr>
          <w:p w14:paraId="23DD3B34">
            <w:pPr>
              <w:rPr>
                <w:rFonts w:ascii="Amasis MT Pro" w:hAnsi="Amasis MT Pro"/>
              </w:rPr>
            </w:pPr>
            <w:r>
              <w:rPr>
                <w:rFonts w:ascii="Amasis MT Pro" w:hAnsi="Amasis MT Pro"/>
              </w:rPr>
              <w:drawing>
                <wp:inline distT="0" distB="0" distL="0" distR="0">
                  <wp:extent cx="238125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2381250" cy="838200"/>
                          </a:xfrm>
                          <a:prstGeom prst="rect">
                            <a:avLst/>
                          </a:prstGeom>
                        </pic:spPr>
                      </pic:pic>
                    </a:graphicData>
                  </a:graphic>
                </wp:inline>
              </w:drawing>
            </w:r>
          </w:p>
        </w:tc>
        <w:tc>
          <w:tcPr>
            <w:tcW w:w="340" w:type="dxa"/>
            <w:tcBorders>
              <w:top w:val="nil"/>
              <w:left w:val="nil"/>
              <w:bottom w:val="nil"/>
              <w:right w:val="nil"/>
            </w:tcBorders>
          </w:tcPr>
          <w:p w14:paraId="79350FC1">
            <w:pPr>
              <w:rPr>
                <w:rFonts w:ascii="Amasis MT Pro" w:hAnsi="Amasis MT Pro"/>
              </w:rPr>
            </w:pPr>
          </w:p>
        </w:tc>
        <w:tc>
          <w:tcPr>
            <w:tcW w:w="7190" w:type="dxa"/>
            <w:tcBorders>
              <w:top w:val="nil"/>
              <w:left w:val="nil"/>
              <w:bottom w:val="nil"/>
              <w:right w:val="nil"/>
            </w:tcBorders>
          </w:tcPr>
          <w:p w14:paraId="03AA6577">
            <w:pPr>
              <w:rPr>
                <w:rFonts w:ascii="fonts/IBMPlexSans-SemiBold" w:hAnsi="fonts/IBMPlexSans-SemiBold" w:eastAsia="fonts/IBMPlexSans-SemiBold" w:cs="fonts/IBMPlexSans-SemiBold"/>
                <w:b/>
                <w:bCs/>
                <w:color w:val="121619"/>
                <w:sz w:val="42"/>
                <w:szCs w:val="42"/>
                <w:lang w:val="en-US" w:eastAsia="en-US"/>
              </w:rPr>
            </w:pPr>
            <w:r>
              <w:rPr>
                <w:rFonts w:ascii="fonts/IBMPlexSans-SemiBold" w:hAnsi="fonts/IBMPlexSans-SemiBold" w:eastAsia="fonts/IBMPlexSans-SemiBold" w:cs="fonts/IBMPlexSans-SemiBold"/>
                <w:b/>
                <w:bCs/>
                <w:color w:val="121619"/>
                <w:sz w:val="42"/>
                <w:szCs w:val="42"/>
                <w:lang w:val="en-US" w:eastAsia="en-US"/>
              </w:rPr>
              <w:t>Sara BOUR</w:t>
            </w:r>
          </w:p>
          <w:p w14:paraId="3B032D92">
            <w:pPr>
              <w:spacing w:before="100" w:after="100"/>
              <w:rPr>
                <w:rFonts w:ascii="fonts/IBMPlexSans-SemiBold" w:hAnsi="fonts/IBMPlexSans-SemiBold" w:eastAsia="fonts/IBMPlexSans-SemiBold" w:cs="fonts/IBMPlexSans-SemiBold"/>
                <w:b/>
                <w:bCs/>
                <w:color w:val="121619"/>
                <w:sz w:val="22"/>
                <w:szCs w:val="22"/>
                <w:lang w:val="en-US" w:eastAsia="en-US"/>
              </w:rPr>
            </w:pPr>
            <w:r>
              <w:rPr>
                <w:rFonts w:ascii="fonts/IBMPlexSans-SemiBold" w:hAnsi="fonts/IBMPlexSans-SemiBold" w:eastAsia="fonts/IBMPlexSans-SemiBold" w:cs="fonts/IBMPlexSans-SemiBold"/>
                <w:b/>
                <w:bCs/>
                <w:color w:val="121619"/>
                <w:sz w:val="22"/>
                <w:szCs w:val="22"/>
                <w:lang w:val="en-US" w:eastAsia="en-US"/>
              </w:rPr>
              <w:t>Morocco</w:t>
            </w:r>
          </w:p>
          <w:p w14:paraId="03F7FB61">
            <w:pPr>
              <w:spacing w:before="100" w:after="100"/>
              <w:rPr>
                <w:rFonts w:ascii="Amasis MT Pro" w:hAnsi="Amasis MT Pro" w:eastAsia="fonts/IBMPlexSans-Text.ttf" w:cs="fonts/IBMPlexSans-Text.ttf"/>
                <w:color w:val="4D5358"/>
                <w:lang w:val="en-US"/>
              </w:rPr>
            </w:pPr>
            <w:r>
              <w:rPr>
                <w:rFonts w:ascii="fonts/IBMPlexSans-SemiBold" w:hAnsi="fonts/IBMPlexSans-SemiBold" w:eastAsia="fonts/IBMPlexSans-SemiBold" w:cs="fonts/IBMPlexSans-SemiBold"/>
                <w:b/>
                <w:bCs/>
                <w:color w:val="121619"/>
                <w:sz w:val="22"/>
                <w:szCs w:val="22"/>
                <w:lang w:val="en-US" w:eastAsia="en-US"/>
              </w:rPr>
              <w:t>Sr. T</w:t>
            </w:r>
            <w:r>
              <w:rPr>
                <w:rFonts w:ascii="fonts/IBMPlexSans-SemiBold" w:hAnsi="fonts/IBMPlexSans-SemiBold" w:eastAsia="fonts/IBMPlexSans-SemiBold" w:cs="fonts/IBMPlexSans-SemiBold"/>
                <w:b/>
                <w:bCs/>
                <w:color w:val="121619"/>
                <w:sz w:val="22"/>
                <w:szCs w:val="22"/>
                <w:lang w:val="en" w:eastAsia="en-US"/>
              </w:rPr>
              <w:t xml:space="preserve">ibco consultant </w:t>
            </w:r>
            <w:r>
              <w:rPr>
                <w:rFonts w:ascii="fonts/IBMPlexSans-SemiBold" w:hAnsi="fonts/IBMPlexSans-SemiBold" w:eastAsia="fonts/IBMPlexSans-SemiBold" w:cs="fonts/IBMPlexSans-SemiBold"/>
                <w:b/>
                <w:bCs/>
                <w:color w:val="121619"/>
                <w:sz w:val="22"/>
                <w:szCs w:val="22"/>
                <w:lang w:val="en-US" w:eastAsia="en-US"/>
              </w:rPr>
              <w:t>BW [SOA-ESB]</w:t>
            </w:r>
          </w:p>
        </w:tc>
      </w:tr>
      <w:tr w14:paraId="13EF9E7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1620" w:hRule="atLeast"/>
        </w:trPr>
        <w:tc>
          <w:tcPr>
            <w:tcW w:w="3750" w:type="dxa"/>
            <w:tcBorders>
              <w:top w:val="nil"/>
              <w:left w:val="nil"/>
              <w:bottom w:val="nil"/>
              <w:right w:val="nil"/>
            </w:tcBorders>
          </w:tcPr>
          <w:p w14:paraId="78370349">
            <w:pPr>
              <w:rPr>
                <w:rFonts w:ascii="Amasis MT Pro" w:hAnsi="Amasis MT Pro"/>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740"/>
            </w:tblGrid>
            <w:tr w14:paraId="61F1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16" w:type="dxa"/>
                  <w:tcBorders>
                    <w:top w:val="nil"/>
                    <w:left w:val="nil"/>
                    <w:bottom w:val="nil"/>
                    <w:right w:val="nil"/>
                  </w:tcBorders>
                  <w:shd w:val="solid" w:color="F2F4F8" w:fill="B79C2F"/>
                  <w:tcMar>
                    <w:top w:w="180" w:type="dxa"/>
                    <w:left w:w="180" w:type="dxa"/>
                    <w:bottom w:w="180" w:type="dxa"/>
                    <w:right w:w="180" w:type="dxa"/>
                  </w:tcMar>
                </w:tcPr>
                <w:p w14:paraId="7185F4B0">
                  <w:pPr>
                    <w:rPr>
                      <w:rFonts w:ascii="fonts/IBMPlexSans-Medium.ttf" w:hAnsi="fonts/IBMPlexSans-Medium.ttf" w:eastAsia="fonts/IBMPlexSans-Medium.ttf" w:cs="fonts/IBMPlexSans-Medium.ttf"/>
                      <w:b/>
                      <w:bCs/>
                      <w:color w:val="0043CE"/>
                      <w:sz w:val="28"/>
                      <w:szCs w:val="28"/>
                      <w:lang w:val="en-US" w:eastAsia="en-US"/>
                    </w:rPr>
                  </w:pPr>
                  <w:r>
                    <w:rPr>
                      <w:rFonts w:ascii="fonts/IBMPlexSans-Medium.ttf" w:hAnsi="fonts/IBMPlexSans-Medium.ttf" w:eastAsia="fonts/IBMPlexSans-Medium.ttf" w:cs="fonts/IBMPlexSans-Medium.ttf"/>
                      <w:b/>
                      <w:bCs/>
                      <w:color w:val="0043CE"/>
                      <w:sz w:val="28"/>
                      <w:szCs w:val="28"/>
                      <w:lang w:val="en-US" w:eastAsia="en-US"/>
                    </w:rPr>
                    <w:t xml:space="preserve">Education </w:t>
                  </w:r>
                </w:p>
                <w:p w14:paraId="3B08F6CE">
                  <w:pPr>
                    <w:spacing w:before="155" w:after="155"/>
                    <w:rPr>
                      <w:rFonts w:ascii="Amasis MT Pro" w:hAnsi="Amasis MT Pro"/>
                      <w:lang w:val="en-US"/>
                    </w:rPr>
                  </w:pPr>
                  <w:r>
                    <w:rPr>
                      <w:rFonts w:ascii="fonts/IBMPlexSans-Text.ttf" w:hAnsi="fonts/IBMPlexSans-Text.ttf" w:eastAsia="fonts/IBMPlexSans-Text.ttf" w:cs="fonts/IBMPlexSans-Text.ttf"/>
                      <w:color w:val="4D5358"/>
                      <w:lang w:val="en-US" w:eastAsia="en-US"/>
                    </w:rPr>
                    <w:t>Specialized computer technician diploma, NTIC, MA</w:t>
                  </w:r>
                </w:p>
              </w:tc>
            </w:tr>
          </w:tbl>
          <w:p w14:paraId="75E0A078">
            <w:pPr>
              <w:rPr>
                <w:rFonts w:ascii="Amasis MT Pro" w:hAnsi="Amasis MT Pro"/>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740"/>
            </w:tblGrid>
            <w:tr w14:paraId="1D6F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16" w:type="dxa"/>
                  <w:tcBorders>
                    <w:top w:val="nil"/>
                    <w:left w:val="nil"/>
                    <w:bottom w:val="nil"/>
                    <w:right w:val="nil"/>
                  </w:tcBorders>
                  <w:shd w:val="solid" w:color="F2F4F8" w:fill="B79C2F"/>
                  <w:tcMar>
                    <w:top w:w="180" w:type="dxa"/>
                    <w:left w:w="180" w:type="dxa"/>
                    <w:bottom w:w="180" w:type="dxa"/>
                    <w:right w:w="180" w:type="dxa"/>
                  </w:tcMar>
                </w:tcPr>
                <w:p w14:paraId="4579161A">
                  <w:pPr>
                    <w:shd w:val="solid" w:color="F2F4F8" w:fill="B79C2F"/>
                    <w:rPr>
                      <w:rFonts w:ascii="Amasis MT Pro" w:hAnsi="Amasis MT Pro"/>
                      <w:lang w:val="en-US"/>
                    </w:rPr>
                  </w:pPr>
                  <w:r>
                    <w:rPr>
                      <w:rFonts w:ascii="fonts/IBMPlexSans-Medium.ttf" w:hAnsi="fonts/IBMPlexSans-Medium.ttf" w:eastAsia="fonts/IBMPlexSans-Medium.ttf" w:cs="fonts/IBMPlexSans-Medium.ttf"/>
                      <w:b/>
                      <w:bCs/>
                      <w:color w:val="0043CE"/>
                      <w:sz w:val="28"/>
                      <w:szCs w:val="28"/>
                      <w:lang w:val="en-US" w:eastAsia="en-US"/>
                    </w:rPr>
                    <w:t>Languages</w:t>
                  </w:r>
                  <w:r>
                    <w:rPr>
                      <w:rFonts w:ascii="Amasis MT Pro" w:hAnsi="Amasis MT Pro" w:eastAsia="fonts/IBMPlexSans-Medium.ttf" w:cs="fonts/IBMPlexSans-Medium.ttf"/>
                      <w:color w:val="0043CE"/>
                      <w:sz w:val="28"/>
                      <w:szCs w:val="28"/>
                      <w:lang w:val="en-US"/>
                    </w:rPr>
                    <w:t xml:space="preserve"> </w:t>
                  </w:r>
                </w:p>
                <w:p w14:paraId="5151BCAF">
                  <w:pPr>
                    <w:spacing w:before="155" w:after="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English - Basic</w:t>
                  </w:r>
                </w:p>
                <w:p w14:paraId="47C06C3A">
                  <w:pPr>
                    <w:spacing w:before="155" w:after="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French - Fluent</w:t>
                  </w:r>
                </w:p>
                <w:p w14:paraId="3C04C111">
                  <w:pPr>
                    <w:spacing w:before="155" w:after="155"/>
                    <w:rPr>
                      <w:rFonts w:ascii="Amasis MT Pro" w:hAnsi="Amasis MT Pro"/>
                      <w:lang w:val="en-US"/>
                    </w:rPr>
                  </w:pPr>
                  <w:r>
                    <w:rPr>
                      <w:rFonts w:ascii="fonts/IBMPlexSans-Text.ttf" w:hAnsi="fonts/IBMPlexSans-Text.ttf" w:eastAsia="fonts/IBMPlexSans-Text.ttf" w:cs="fonts/IBMPlexSans-Text.ttf"/>
                      <w:color w:val="4D5358"/>
                      <w:lang w:val="en-US" w:eastAsia="en-US"/>
                    </w:rPr>
                    <w:t>Arabic - Good</w:t>
                  </w:r>
                </w:p>
              </w:tc>
            </w:tr>
          </w:tbl>
          <w:p w14:paraId="57D17B58">
            <w:pPr>
              <w:shd w:val="solid" w:color="F2F4F8" w:fill="B79C2F"/>
              <w:rPr>
                <w:rFonts w:ascii="Amasis MT Pro" w:hAnsi="Amasis MT Pro"/>
                <w:lang w:val="en-US"/>
              </w:rPr>
            </w:pPr>
          </w:p>
          <w:p w14:paraId="1A75B656">
            <w:pPr>
              <w:rPr>
                <w:rFonts w:ascii="Amasis MT Pro" w:hAnsi="Amasis MT Pro"/>
                <w:lang w:val="en-US"/>
              </w:rPr>
            </w:pPr>
          </w:p>
          <w:p w14:paraId="30E0D324">
            <w:pPr>
              <w:rPr>
                <w:rFonts w:ascii="Amasis MT Pro" w:hAnsi="Amasis MT Pro"/>
                <w:lang w:val="en-US"/>
              </w:rPr>
            </w:pPr>
          </w:p>
        </w:tc>
        <w:tc>
          <w:tcPr>
            <w:tcW w:w="340" w:type="dxa"/>
            <w:tcBorders>
              <w:top w:val="nil"/>
              <w:left w:val="nil"/>
              <w:bottom w:val="nil"/>
              <w:right w:val="nil"/>
            </w:tcBorders>
          </w:tcPr>
          <w:p w14:paraId="3C10D403">
            <w:pPr>
              <w:rPr>
                <w:rFonts w:ascii="Amasis MT Pro" w:hAnsi="Amasis MT Pro"/>
                <w:lang w:val="en-US"/>
              </w:rPr>
            </w:pPr>
          </w:p>
        </w:tc>
        <w:tc>
          <w:tcPr>
            <w:tcW w:w="7190" w:type="dxa"/>
            <w:tcBorders>
              <w:top w:val="nil"/>
              <w:left w:val="nil"/>
              <w:bottom w:val="nil"/>
              <w:right w:val="nil"/>
            </w:tcBorders>
          </w:tcPr>
          <w:p w14:paraId="6CA238F3">
            <w:pPr>
              <w:spacing w:before="205" w:after="180"/>
              <w:rPr>
                <w:rFonts w:ascii="Amasis MT Pro" w:hAnsi="Amasis MT Pro"/>
                <w:lang w:val="en-US"/>
              </w:rPr>
            </w:pPr>
            <w:r>
              <w:rPr>
                <w:rFonts w:ascii="fonts/IBMPlexSans-Medium.ttf" w:hAnsi="fonts/IBMPlexSans-Medium.ttf" w:eastAsia="fonts/IBMPlexSans-Medium.ttf" w:cs="fonts/IBMPlexSans-Medium.ttf"/>
                <w:b/>
                <w:bCs/>
                <w:color w:val="0043CE"/>
                <w:sz w:val="28"/>
                <w:szCs w:val="28"/>
                <w:lang w:val="en-US" w:eastAsia="en-US"/>
              </w:rPr>
              <w:t>Profile</w:t>
            </w:r>
            <w:r>
              <w:rPr>
                <w:rFonts w:ascii="Amasis MT Pro" w:hAnsi="Amasis MT Pro" w:eastAsia="fonts/IBMPlexSans-Medium.ttf" w:cs="fonts/IBMPlexSans-Medium.ttf"/>
                <w:color w:val="0043CE"/>
                <w:sz w:val="28"/>
                <w:szCs w:val="28"/>
                <w:lang w:val="en-US"/>
              </w:rPr>
              <w:t xml:space="preserve"> </w:t>
            </w:r>
          </w:p>
          <w:p w14:paraId="266FB585">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xml:space="preserve">SOA/ESB Consultant, The implementation of ESB </w:t>
            </w:r>
            <w:r>
              <w:rPr>
                <w:rFonts w:ascii="fonts/IBMPlexSans-Text.ttf" w:hAnsi="fonts/IBMPlexSans-Text.ttf" w:eastAsia="fonts/IBMPlexSans-Text.ttf" w:cs="fonts/IBMPlexSans-Text.ttf"/>
                <w:color w:val="4D5358"/>
                <w:lang w:val="en-US" w:eastAsia="en-US"/>
              </w:rPr>
              <w:t xml:space="preserve">&amp; EAI solutions using Tibco </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BW on an information system with 16 years of experience, including over 10 years in the banking and finance sector.</w:t>
            </w:r>
          </w:p>
          <w:p w14:paraId="5AFA78FE">
            <w:pPr>
              <w:rPr>
                <w:rFonts w:ascii="fonts/IBMPlexSans-Text.ttf" w:hAnsi="fonts/IBMPlexSans-Text.ttf" w:eastAsia="fonts/IBMPlexSans-Text.ttf" w:cs="fonts/IBMPlexSans-Text.ttf"/>
                <w:color w:val="4D5358"/>
                <w:lang w:val="en-US" w:eastAsia="en-US"/>
              </w:rPr>
            </w:pPr>
          </w:p>
          <w:p w14:paraId="269370E1">
            <w:pPr>
              <w:spacing w:before="24" w:after="180"/>
              <w:rPr>
                <w:rFonts w:ascii="Amasis MT Pro" w:hAnsi="Amasis MT Pro" w:eastAsia="fonts/IBMPlexSans-Medium.ttf" w:cs="fonts/IBMPlexSans-Medium.ttf"/>
                <w:color w:val="0043CE"/>
                <w:sz w:val="28"/>
                <w:szCs w:val="28"/>
                <w:lang w:val="en-US"/>
              </w:rPr>
            </w:pPr>
            <w:r>
              <w:rPr>
                <w:rFonts w:ascii="fonts/IBMPlexSans-Medium.ttf" w:hAnsi="fonts/IBMPlexSans-Medium.ttf" w:eastAsia="fonts/IBMPlexSans-Medium.ttf" w:cs="fonts/IBMPlexSans-Medium.ttf"/>
                <w:b/>
                <w:bCs/>
                <w:color w:val="0043CE"/>
                <w:sz w:val="28"/>
                <w:szCs w:val="28"/>
                <w:lang w:val="en-US" w:eastAsia="en-US"/>
              </w:rPr>
              <w:t>Key skills &amp; Soft skills</w:t>
            </w:r>
          </w:p>
          <w:p w14:paraId="015E3F1C">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Teamwork</w:t>
            </w:r>
          </w:p>
          <w:p w14:paraId="17A7C0B5">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Communication</w:t>
            </w:r>
          </w:p>
          <w:p w14:paraId="1998A7B0">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Adaptability</w:t>
            </w:r>
          </w:p>
          <w:p w14:paraId="1065D84E">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Business Analysis</w:t>
            </w:r>
          </w:p>
          <w:p w14:paraId="2E27DD80">
            <w:pPr>
              <w:autoSpaceDE w:val="0"/>
              <w:autoSpaceDN w:val="0"/>
              <w:adjustRightInd w:val="0"/>
              <w:rPr>
                <w:rFonts w:ascii="Amasis MT Pro" w:hAnsi="Amasis MT Pro" w:eastAsia="fonts/IBMPlexSans-Text.ttf" w:cs="fonts/IBMPlexSans-Text.ttf"/>
                <w:color w:val="4D5358"/>
                <w:lang w:val="en-US"/>
              </w:rPr>
            </w:pPr>
          </w:p>
          <w:p w14:paraId="4A693953">
            <w:pPr>
              <w:spacing w:before="24" w:after="180"/>
              <w:rPr>
                <w:rFonts w:ascii="fonts/IBMPlexSans-Medium.ttf" w:hAnsi="fonts/IBMPlexSans-Medium.ttf" w:eastAsia="fonts/IBMPlexSans-Medium.ttf" w:cs="fonts/IBMPlexSans-Medium.ttf"/>
                <w:b/>
                <w:bCs/>
                <w:color w:val="0043CE"/>
                <w:sz w:val="28"/>
                <w:szCs w:val="28"/>
                <w:lang w:val="en-US" w:eastAsia="en-US"/>
              </w:rPr>
            </w:pPr>
            <w:r>
              <w:rPr>
                <w:rFonts w:ascii="fonts/IBMPlexSans-Medium.ttf" w:hAnsi="fonts/IBMPlexSans-Medium.ttf" w:eastAsia="fonts/IBMPlexSans-Medium.ttf" w:cs="fonts/IBMPlexSans-Medium.ttf"/>
                <w:b/>
                <w:bCs/>
                <w:color w:val="0043CE"/>
                <w:sz w:val="28"/>
                <w:szCs w:val="28"/>
                <w:lang w:val="en-US" w:eastAsia="en-US"/>
              </w:rPr>
              <w:t xml:space="preserve">Technical skills </w:t>
            </w:r>
          </w:p>
          <w:p w14:paraId="41C901BA">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TIBCO BusinessWorks 5.12, TIBCO Administrator 5.9, TIBCO EMS 8.2</w:t>
            </w:r>
          </w:p>
          <w:p w14:paraId="57541330">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Oracle 12g, SQL Server.</w:t>
            </w:r>
          </w:p>
          <w:p w14:paraId="3AE8E104">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Oracle PL/SQL, OracleForms.</w:t>
            </w:r>
          </w:p>
          <w:p w14:paraId="130D3AEF">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JavaScript, CSS, HTML, LDAP, Perl, Unix.</w:t>
            </w:r>
          </w:p>
          <w:p w14:paraId="31DA933C">
            <w:pPr>
              <w:rPr>
                <w:rFonts w:ascii="Amasis MT Pro" w:hAnsi="Amasis MT Pro" w:eastAsia="fonts/IBMPlexSans-Text.ttf" w:cs="fonts/IBMPlexSans-Text.ttf"/>
                <w:color w:val="4D5358"/>
                <w:lang w:val="en-US"/>
              </w:rPr>
            </w:pPr>
            <w:r>
              <w:rPr>
                <w:rFonts w:ascii="fonts/IBMPlexSans-Text.ttf" w:hAnsi="fonts/IBMPlexSans-Text.ttf" w:eastAsia="fonts/IBMPlexSans-Text.ttf" w:cs="fonts/IBMPlexSans-Text.ttf"/>
                <w:color w:val="4D5358"/>
                <w:lang w:val="en-US" w:eastAsia="en-US"/>
              </w:rPr>
              <w:t>Talend-TIS, ET</w:t>
            </w:r>
            <w:r>
              <w:rPr>
                <w:rFonts w:hint="default" w:ascii="fonts/IBMPlexSans-Text.ttf" w:hAnsi="fonts/IBMPlexSans-Text.ttf" w:eastAsia="fonts/IBMPlexSans-Text.ttf" w:cs="fonts/IBMPlexSans-Text.ttf"/>
                <w:color w:val="4D5358"/>
                <w:lang w:val="en-US" w:eastAsia="en-US"/>
              </w:rPr>
              <w:t>L</w:t>
            </w:r>
            <w:r>
              <w:rPr>
                <w:rFonts w:hint="default" w:ascii="fonts/IBMPlexSans-Text.ttf" w:hAnsi="fonts/IBMPlexSans-Text.ttf" w:eastAsia="fonts/IBMPlexSans-Text.ttf" w:cs="fonts/IBMPlexSans-Text.ttf"/>
                <w:color w:val="4D5358"/>
                <w:lang w:val="en-US"/>
              </w:rPr>
              <w:t>, MuleSoft 4 (AnyPointStudio7.2.1).</w:t>
            </w:r>
          </w:p>
          <w:p w14:paraId="294F41EF">
            <w:pPr>
              <w:jc w:val="both"/>
              <w:rPr>
                <w:rFonts w:ascii="Amasis MT Pro" w:hAnsi="Amasis MT Pro" w:eastAsia="fonts/IBMPlexSans-Text.ttf" w:cs="fonts/IBMPlexSans-Text.ttf"/>
                <w:color w:val="4D5358"/>
                <w:lang w:val="en-US"/>
              </w:rPr>
            </w:pPr>
          </w:p>
          <w:p w14:paraId="2502450C">
            <w:pPr>
              <w:spacing w:before="24" w:after="180"/>
              <w:rPr>
                <w:rFonts w:ascii="Amasis MT Pro" w:hAnsi="Amasis MT Pro" w:eastAsia="fonts/IBMPlexSans-Medium.ttf" w:cs="fonts/IBMPlexSans-Medium.ttf"/>
                <w:color w:val="0043CE"/>
                <w:sz w:val="28"/>
                <w:szCs w:val="28"/>
                <w:lang w:val="en-US"/>
              </w:rPr>
            </w:pPr>
            <w:r>
              <w:rPr>
                <w:rFonts w:ascii="fonts/IBMPlexSans-Medium.ttf" w:hAnsi="fonts/IBMPlexSans-Medium.ttf" w:eastAsia="fonts/IBMPlexSans-Medium.ttf" w:cs="fonts/IBMPlexSans-Medium.ttf"/>
                <w:b/>
                <w:bCs/>
                <w:color w:val="0043CE"/>
                <w:sz w:val="28"/>
                <w:szCs w:val="28"/>
                <w:lang w:val="en-US" w:eastAsia="en-US"/>
              </w:rPr>
              <w:t>Critical courses and training</w:t>
            </w:r>
          </w:p>
          <w:p w14:paraId="2DB49CF6">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Accelerated training in computer development, Java/J2EE</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School of Advanced Studies in IT Management and Communication of Casablanca (EDHEC)</w:t>
            </w:r>
          </w:p>
          <w:p w14:paraId="391D9B61">
            <w:pPr>
              <w:rPr>
                <w:rFonts w:ascii="fonts/IBMPlexSans-Text.ttf" w:hAnsi="fonts/IBMPlexSans-Text.ttf" w:eastAsia="fonts/IBMPlexSans-Text.ttf" w:cs="fonts/IBMPlexSans-Text.ttf"/>
                <w:color w:val="4D5358"/>
                <w:lang w:val="en-US" w:eastAsia="en-US"/>
              </w:rPr>
            </w:pPr>
          </w:p>
          <w:p w14:paraId="04F65666">
            <w:pPr>
              <w:spacing w:before="24" w:after="180"/>
              <w:rPr>
                <w:rFonts w:ascii="fonts/IBMPlexSans-Medium.ttf" w:hAnsi="fonts/IBMPlexSans-Medium.ttf" w:eastAsia="fonts/IBMPlexSans-Medium.ttf" w:cs="fonts/IBMPlexSans-Medium.ttf"/>
                <w:b/>
                <w:bCs/>
                <w:color w:val="0043CE"/>
                <w:sz w:val="28"/>
                <w:szCs w:val="28"/>
                <w:lang w:val="en-US" w:eastAsia="en-US"/>
              </w:rPr>
            </w:pPr>
            <w:r>
              <w:rPr>
                <w:rFonts w:ascii="fonts/IBMPlexSans-Medium.ttf" w:hAnsi="fonts/IBMPlexSans-Medium.ttf" w:eastAsia="fonts/IBMPlexSans-Medium.ttf" w:cs="fonts/IBMPlexSans-Medium.ttf"/>
                <w:b/>
                <w:bCs/>
                <w:color w:val="0043CE"/>
                <w:sz w:val="28"/>
                <w:szCs w:val="28"/>
                <w:lang w:val="en-US" w:eastAsia="en-US"/>
              </w:rPr>
              <w:t>Work experience</w:t>
            </w:r>
          </w:p>
          <w:p w14:paraId="3FE95800">
            <w:pPr>
              <w:spacing w:before="155"/>
              <w:rPr>
                <w:rFonts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 xml:space="preserve">Work experience 1  MuleSoft </w:t>
            </w:r>
            <w:r>
              <w:rPr>
                <w:rFonts w:ascii="fonts/IBMPlexSans-Text.ttf" w:hAnsi="fonts/IBMPlexSans-Text.ttf" w:eastAsia="fonts/IBMPlexSans-Text.ttf" w:cs="fonts/IBMPlexSans-Text.ttf"/>
                <w:b/>
                <w:bCs/>
                <w:color w:val="121619"/>
                <w:sz w:val="24"/>
                <w:szCs w:val="24"/>
                <w:lang w:val="en-US" w:eastAsia="en-US"/>
              </w:rPr>
              <w:t xml:space="preserve">Consultant  </w:t>
            </w:r>
          </w:p>
          <w:p w14:paraId="37E4992E">
            <w:pPr>
              <w:spacing w:before="155"/>
              <w:rPr>
                <w:lang w:val="zh-CN"/>
              </w:rPr>
            </w:pPr>
            <w:r>
              <w:rPr>
                <w:rFonts w:ascii="fonts/IBMPlexSans-Text.ttf" w:hAnsi="fonts/IBMPlexSans-Text.ttf" w:eastAsia="fonts/IBMPlexSans-Text.ttf" w:cs="fonts/IBMPlexSans-Text.ttf"/>
                <w:color w:val="4D5358"/>
                <w:lang w:val="zh-CN"/>
              </w:rPr>
              <w:t xml:space="preserve">IBM, Morocco | </w:t>
            </w:r>
            <w:r>
              <w:rPr>
                <w:rFonts w:hint="default" w:ascii="fonts/IBMPlexSans-Text.ttf" w:hAnsi="fonts/IBMPlexSans-Text.ttf" w:eastAsia="fonts/IBMPlexSans-Text.ttf" w:cs="fonts/IBMPlexSans-Text.ttf"/>
                <w:color w:val="4D5358"/>
                <w:lang w:val="en-US"/>
              </w:rPr>
              <w:t xml:space="preserve">Janvier </w:t>
            </w:r>
            <w:r>
              <w:rPr>
                <w:rFonts w:ascii="fonts/IBMPlexSans-Text.ttf" w:hAnsi="fonts/IBMPlexSans-Text.ttf" w:eastAsia="fonts/IBMPlexSans-Text.ttf" w:cs="fonts/IBMPlexSans-Text.ttf"/>
                <w:color w:val="4D5358"/>
                <w:lang w:val="zh-CN"/>
              </w:rPr>
              <w:t>202</w:t>
            </w:r>
            <w:r>
              <w:rPr>
                <w:rFonts w:hint="default" w:ascii="fonts/IBMPlexSans-Text.ttf" w:hAnsi="fonts/IBMPlexSans-Text.ttf" w:eastAsia="fonts/IBMPlexSans-Text.ttf" w:cs="fonts/IBMPlexSans-Text.ttf"/>
                <w:color w:val="4D5358"/>
                <w:lang w:val="en-US"/>
              </w:rPr>
              <w:t>6</w:t>
            </w:r>
            <w:r>
              <w:rPr>
                <w:rFonts w:ascii="fonts/IBMPlexSans-Text.ttf" w:hAnsi="fonts/IBMPlexSans-Text.ttf" w:eastAsia="fonts/IBMPlexSans-Text.ttf" w:cs="fonts/IBMPlexSans-Text.ttf"/>
                <w:color w:val="4D5358"/>
                <w:lang w:val="zh-CN"/>
              </w:rPr>
              <w:t xml:space="preserve"> - </w:t>
            </w:r>
            <w:r>
              <w:rPr>
                <w:rFonts w:hint="default" w:ascii="fonts/IBMPlexSans-Text.ttf" w:hAnsi="fonts/IBMPlexSans-Text.ttf" w:eastAsia="fonts/IBMPlexSans-Text.ttf" w:cs="fonts/IBMPlexSans-Text.ttf"/>
                <w:color w:val="4D5358"/>
                <w:lang w:val="en-US"/>
              </w:rPr>
              <w:t xml:space="preserve">prensent </w:t>
            </w:r>
          </w:p>
          <w:p w14:paraId="1574789B">
            <w:pPr>
              <w:rPr>
                <w:lang w:val="zh-CN"/>
              </w:rPr>
            </w:pPr>
          </w:p>
          <w:p w14:paraId="2CEBE085">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Participation in the development of MuleSoft workflows for the IBM Exchange Platform (internal project)</w:t>
            </w:r>
          </w:p>
          <w:p w14:paraId="4416DB3B">
            <w:pPr>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For the benefit of human resources, enabling communication and data enrichment concerning internal IBM employees (leave management, CV updates, management of employee personal data).</w:t>
            </w:r>
          </w:p>
          <w:p w14:paraId="695FCBF0">
            <w:pPr>
              <w:rPr>
                <w:rFonts w:hint="default" w:ascii="fonts/IBMPlexSans-Text.ttf" w:hAnsi="fonts/IBMPlexSans-Text.ttf" w:eastAsia="fonts/IBMPlexSans-Text.ttf" w:cs="fonts/IBMPlexSans-Text.ttf"/>
                <w:color w:val="4D5358"/>
                <w:lang w:val="en-US"/>
              </w:rPr>
            </w:pPr>
          </w:p>
          <w:p w14:paraId="3492C55A">
            <w:pPr>
              <w:rPr>
                <w:rFonts w:ascii="fonts/IBMPlexSans-Text.ttf" w:hAnsi="fonts/IBMPlexSans-Text.ttf" w:eastAsia="fonts/IBMPlexSans-Text.ttf" w:cs="fonts/IBMPlexSans-Text.ttf"/>
                <w:color w:val="4D5358"/>
                <w:lang w:val="zh-CN"/>
              </w:rPr>
            </w:pPr>
            <w:r>
              <w:rPr>
                <w:rFonts w:ascii="fonts/IBMPlexSans-Text.ttf" w:hAnsi="fonts/IBMPlexSans-Text.ttf" w:eastAsia="fonts/IBMPlexSans-Text.ttf" w:cs="fonts/IBMPlexSans-Text.ttf"/>
                <w:color w:val="4D5358"/>
                <w:lang w:val="en-US" w:eastAsia="en-US"/>
              </w:rPr>
              <w:t>Technical environment</w:t>
            </w:r>
            <w:r>
              <w:rPr>
                <w:rFonts w:ascii="fonts/IBMPlexSans-Text.ttf" w:hAnsi="fonts/IBMPlexSans-Text.ttf" w:eastAsia="fonts/IBMPlexSans-Text.ttf" w:cs="fonts/IBMPlexSans-Text.ttf"/>
                <w:color w:val="4D5358"/>
                <w:lang w:val="zh-CN" w:eastAsia="en-US"/>
              </w:rPr>
              <w:t xml:space="preserve"> </w:t>
            </w:r>
            <w:r>
              <w:rPr>
                <w:rFonts w:ascii="fonts/IBMPlexSans-Text.ttf" w:hAnsi="fonts/IBMPlexSans-Text.ttf" w:eastAsia="fonts/IBMPlexSans-Text.ttf" w:cs="fonts/IBMPlexSans-Text.ttf"/>
                <w:color w:val="4D5358"/>
                <w:lang w:val="zh-CN"/>
              </w:rPr>
              <w:t xml:space="preserve">: </w:t>
            </w:r>
            <w:r>
              <w:rPr>
                <w:rFonts w:hint="default" w:ascii="fonts/IBMPlexSans-Text.ttf" w:hAnsi="fonts/IBMPlexSans-Text.ttf" w:eastAsia="fonts/IBMPlexSans-Text.ttf" w:cs="fonts/IBMPlexSans-Text.ttf"/>
                <w:color w:val="4D5358"/>
                <w:lang w:val="en-US"/>
              </w:rPr>
              <w:t>MuleSoft 7.2</w:t>
            </w:r>
            <w:r>
              <w:rPr>
                <w:rFonts w:ascii="fonts/IBMPlexSans-Text.ttf" w:hAnsi="fonts/IBMPlexSans-Text.ttf" w:eastAsia="fonts/IBMPlexSans-Text.ttf" w:cs="fonts/IBMPlexSans-Text.ttf"/>
                <w:color w:val="4D5358"/>
                <w:lang w:val="zh-CN"/>
              </w:rPr>
              <w:t xml:space="preserve">, </w:t>
            </w:r>
            <w:r>
              <w:rPr>
                <w:rFonts w:hint="default" w:ascii="fonts/IBMPlexSans-Text.ttf" w:hAnsi="fonts/IBMPlexSans-Text.ttf" w:eastAsia="fonts/IBMPlexSans-Text.ttf" w:cs="fonts/IBMPlexSans-Text.ttf"/>
                <w:color w:val="4D5358"/>
                <w:lang w:val="en-US"/>
              </w:rPr>
              <w:t>AnyPoint4.2</w:t>
            </w:r>
            <w:r>
              <w:rPr>
                <w:rFonts w:ascii="fonts/IBMPlexSans-Text.ttf" w:hAnsi="fonts/IBMPlexSans-Text.ttf" w:eastAsia="fonts/IBMPlexSans-Text.ttf" w:cs="fonts/IBMPlexSans-Text.ttf"/>
                <w:color w:val="4D5358"/>
                <w:lang w:val="zh-CN"/>
              </w:rPr>
              <w:t>, TIBCO EMS 8.2, Oracle 12g.</w:t>
            </w:r>
          </w:p>
          <w:p w14:paraId="795D300A">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2   Tibco Consultant  BW[SOA – ESB]</w:t>
            </w:r>
          </w:p>
          <w:p w14:paraId="7934011C">
            <w:pPr>
              <w:spacing w:before="155"/>
              <w:rPr>
                <w:rFonts w:ascii="fonts/IBMPlexSans-Text.ttf" w:hAnsi="fonts/IBMPlexSans-Text.ttf" w:eastAsia="fonts/IBMPlexSans-Text.ttf" w:cs="fonts/IBMPlexSans-Text.ttf"/>
                <w:color w:val="4D5358"/>
                <w:lang w:val="en-US"/>
              </w:rPr>
            </w:pPr>
            <w:r>
              <w:rPr>
                <w:rFonts w:ascii="fonts/IBMPlexSans-Text.ttf" w:hAnsi="fonts/IBMPlexSans-Text.ttf" w:eastAsia="fonts/IBMPlexSans-Text.ttf" w:cs="fonts/IBMPlexSans-Text.ttf"/>
                <w:color w:val="4D5358"/>
                <w:lang w:val="en-US"/>
              </w:rPr>
              <w:t>BPLS-PICO| 08/2021 – prensent | IBM Morocco</w:t>
            </w:r>
          </w:p>
          <w:p w14:paraId="4994DC00">
            <w:pPr>
              <w:spacing w:before="155"/>
              <w:rPr>
                <w:rFonts w:hint="default"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xml:space="preserve">As an Tibco Consultant on the BPLS project, my role was to develop and implement solutions on the PICO platform using the tibco designer tool, </w:t>
            </w:r>
            <w:r>
              <w:rPr>
                <w:rFonts w:ascii="fonts/IBMPlexSans-Text.ttf" w:hAnsi="fonts/IBMPlexSans-Text.ttf" w:eastAsia="fonts/IBMPlexSans-Text.ttf" w:cs="fonts/IBMPlexSans-Text.ttf"/>
                <w:color w:val="4D5358"/>
                <w:lang w:val="en" w:eastAsia="en-US"/>
              </w:rPr>
              <w:t>propose solutions and correction of anomalies and incidents</w:t>
            </w:r>
            <w:r>
              <w:rPr>
                <w:rFonts w:hint="default" w:ascii="fonts/IBMPlexSans-Text.ttf" w:hAnsi="fonts/IBMPlexSans-Text.ttf" w:eastAsia="fonts/IBMPlexSans-Text.ttf" w:cs="fonts/IBMPlexSans-Text.ttf"/>
                <w:color w:val="4D5358"/>
                <w:lang w:val="en-US" w:eastAsia="en-US"/>
              </w:rPr>
              <w:t>.</w:t>
            </w:r>
          </w:p>
          <w:p w14:paraId="6EC8CE27">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Technical environment: integration Platforme, jenkis.GIT,administrator,SQLdeveloper</w:t>
            </w:r>
          </w:p>
          <w:p w14:paraId="2899AC6D">
            <w:pPr>
              <w:rPr>
                <w:rFonts w:ascii="Amasis MT Pro" w:hAnsi="Amasis MT Pro" w:eastAsia="fonts/IBMPlexSans-Text.ttf" w:cs="fonts/IBMPlexSans-Text.ttf"/>
                <w:color w:val="4D5358"/>
                <w:sz w:val="18"/>
                <w:szCs w:val="18"/>
                <w:lang w:val="en-US"/>
              </w:rPr>
            </w:pPr>
          </w:p>
          <w:p w14:paraId="2A78879F">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3: Tibco Consultant  BW[SOA – ESB]</w:t>
            </w:r>
          </w:p>
          <w:p w14:paraId="6CF7B72D">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PF | 08/2016 – 07/2021  | IBM Morocco</w:t>
            </w:r>
          </w:p>
          <w:p w14:paraId="763B2012">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w:t>
            </w:r>
          </w:p>
          <w:p w14:paraId="554A53F0">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xml:space="preserve">Implementation of a CSCE exchange platform based on the TIBCO Business Works solution, in order to ensure reliability, streamline, and monitor data exchanges with all applications within the BNPP PF information system. </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 xml:space="preserve">Collection of client requirements and writing of functional specifications in the form of interface contracts. </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 xml:space="preserve">Technical design and development of flows using TIBCO BW. </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 xml:space="preserve">Testing of the developed solutions. </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 xml:space="preserve">Support for developers. </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Testing and monitoring of anomalies.</w:t>
            </w:r>
          </w:p>
          <w:p w14:paraId="4EEAB672">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4 : Tibco Consultant  BW[SOA – ESB]</w:t>
            </w:r>
          </w:p>
          <w:p w14:paraId="1D6613ED">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Carrefour | 01/2016 – 07/2016  | Atos</w:t>
            </w:r>
            <w:r>
              <w:rPr>
                <w:rFonts w:ascii="fonts/IBMPlexSans-Text.ttf" w:hAnsi="fonts/IBMPlexSans-Text.ttf" w:eastAsia="fonts/IBMPlexSans-Text.ttf" w:cs="fonts/IBMPlexSans-Text.ttf"/>
                <w:color w:val="4D5358"/>
                <w:lang w:val="en-US" w:eastAsia="en-US"/>
              </w:rPr>
              <w:br w:type="textWrapping"/>
            </w:r>
          </w:p>
          <w:p w14:paraId="701733C7">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Participation in the development of the exchange, mediation, and inter-application orchestration platform allowing heterogeneous applications within AUCHAN's information system to manage their data exchanges.</w:t>
            </w:r>
          </w:p>
          <w:p w14:paraId="05E7E026">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Technical Environment: TIBCO As-Spacebar 2.1, TIBCO BusinessWorks 5.12, TIBCO Administrator 5.9, TIBCO EMS 8.2, Oracle 12g.</w:t>
            </w:r>
          </w:p>
          <w:p w14:paraId="2B8EC0B6">
            <w:pPr>
              <w:jc w:val="both"/>
              <w:rPr>
                <w:rFonts w:ascii="Amasis MT Pro" w:hAnsi="Amasis MT Pro" w:eastAsia="fonts/IBMPlexSans-Text.ttf" w:cs="fonts/IBMPlexSans-Text.ttf"/>
                <w:color w:val="4D5358"/>
                <w:sz w:val="18"/>
                <w:szCs w:val="18"/>
                <w:lang w:val="en-US"/>
              </w:rPr>
            </w:pPr>
          </w:p>
          <w:p w14:paraId="1E83D4B8">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5 : Development Engineer</w:t>
            </w:r>
          </w:p>
          <w:p w14:paraId="6B4039A3">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Carrefour | 03/2014 – 10/2014  | CGI</w:t>
            </w:r>
          </w:p>
          <w:p w14:paraId="19F004F9">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As a Development Engineer for the CARREFOUR project, which uses the TIBCO ESB for managing exchanges within the Carrefour information system, and which involves migrating EAI flows currently managed with the ORACLE JCAPS platform as well as implementing new interfaces in a service-oriented approach (SOA), my</w:t>
            </w:r>
            <w:r>
              <w:rPr>
                <w:rFonts w:ascii="Amasis MT Pro" w:hAnsi="Amasis MT Pro" w:eastAsia="fonts/IBMPlexSans-Text.ttf" w:cs="fonts/IBMPlexSans-Text.ttf"/>
                <w:color w:val="4D5358"/>
                <w:sz w:val="18"/>
                <w:szCs w:val="18"/>
                <w:lang w:val="en-US"/>
              </w:rPr>
              <w:t xml:space="preserve"> </w:t>
            </w:r>
            <w:r>
              <w:rPr>
                <w:rFonts w:ascii="fonts/IBMPlexSans-Text.ttf" w:hAnsi="fonts/IBMPlexSans-Text.ttf" w:eastAsia="fonts/IBMPlexSans-Text.ttf" w:cs="fonts/IBMPlexSans-Text.ttf"/>
                <w:color w:val="4D5358"/>
                <w:lang w:val="en-US" w:eastAsia="en-US"/>
              </w:rPr>
              <w:t xml:space="preserve">tasks were: </w:t>
            </w:r>
          </w:p>
          <w:p w14:paraId="27FB8785">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Writing detailed and general functional specifications.</w:t>
            </w:r>
          </w:p>
          <w:p w14:paraId="778AC298">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Developing ESB/EAI flows.</w:t>
            </w:r>
          </w:p>
          <w:p w14:paraId="215833C9">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Writing unit test sheets.</w:t>
            </w:r>
          </w:p>
          <w:p w14:paraId="4FC77585">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Performing unit tests.</w:t>
            </w:r>
          </w:p>
          <w:p w14:paraId="31F43E71">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 Performing integration tests.</w:t>
            </w:r>
          </w:p>
          <w:p w14:paraId="020C47B3">
            <w:pPr>
              <w:spacing w:before="155"/>
              <w:rPr>
                <w:rFonts w:ascii="fonts/IBMPlexSans-Text.ttf" w:hAnsi="fonts/IBMPlexSans-Text.ttf" w:eastAsia="fonts/IBMPlexSans-Text.ttf" w:cs="fonts/IBMPlexSans-Text.ttf"/>
                <w:color w:val="4D5358"/>
                <w:lang w:val="en-US" w:eastAsia="en-US"/>
              </w:rPr>
            </w:pPr>
          </w:p>
          <w:p w14:paraId="2C275EEB">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Technical environment: TIBCO Designer, Java, JMS, EMH (Error Monitoring &amp; Handling): Carrefour framework ensuring the monitoring of exchanges managed by the integration platform (event logs) and centralized error management.</w:t>
            </w:r>
          </w:p>
          <w:p w14:paraId="7D711C62">
            <w:pPr>
              <w:jc w:val="both"/>
              <w:rPr>
                <w:rFonts w:ascii="Amasis MT Pro" w:hAnsi="Amasis MT Pro" w:eastAsia="fonts/IBMPlexSans-Text.ttf" w:cs="fonts/IBMPlexSans-Text.ttf"/>
                <w:color w:val="4D5358"/>
                <w:sz w:val="18"/>
                <w:szCs w:val="18"/>
                <w:lang w:val="en-US"/>
              </w:rPr>
            </w:pPr>
          </w:p>
          <w:p w14:paraId="775AE996">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6 : Development Engineer</w:t>
            </w:r>
          </w:p>
          <w:p w14:paraId="75C027C9">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SG | 12/2010 – 03/2014  | CGI</w:t>
            </w:r>
          </w:p>
          <w:p w14:paraId="67C33371">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As a Development Engineer, for the PESOS project, which involves the development of various applications managing banking activities for the client Société Générale (JAVA/J2EE, OracleForms…), my responsibilities included analyzing requests, maintaining existing applications (handling updates, support, and troubleshooting), drafting SFD/ST/FTU estimates, performing unit tests, and training/supporting new team members.</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Technical environment: SQL Server, Oracle PL/SQL, OracleForms, HTML, JavaScript, CSS, Java/J2EE, LDAP, Perl, Unix.</w:t>
            </w:r>
          </w:p>
          <w:p w14:paraId="469965C5">
            <w:pPr>
              <w:jc w:val="both"/>
              <w:rPr>
                <w:rFonts w:ascii="Amasis MT Pro" w:hAnsi="Amasis MT Pro" w:eastAsia="fonts/IBMPlexSans-Text.ttf" w:cs="fonts/IBMPlexSans-Text.ttf"/>
                <w:color w:val="4D5358"/>
                <w:sz w:val="18"/>
                <w:szCs w:val="18"/>
                <w:lang w:val="en-US"/>
              </w:rPr>
            </w:pPr>
          </w:p>
          <w:p w14:paraId="79108A0F">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6 : Development Engineer</w:t>
            </w:r>
          </w:p>
          <w:p w14:paraId="42544638">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SG | 12/2010 – 03/2014  | CGI</w:t>
            </w:r>
          </w:p>
          <w:p w14:paraId="1E273E83">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As a Development Engineer, for the PESOS project, which involves the development of various applications managing banking activities for the client Société Générale (JAVA/J2EE, OracleForms…), my responsibilities included analyzing requests, maintaining existing applications (handling updates, support, and troubleshooting), drafting SFD/ST/FTU estimates, performing unit tests, and training/supporting new team members.</w:t>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br w:type="textWrapping"/>
            </w:r>
            <w:r>
              <w:rPr>
                <w:rFonts w:ascii="fonts/IBMPlexSans-Text.ttf" w:hAnsi="fonts/IBMPlexSans-Text.ttf" w:eastAsia="fonts/IBMPlexSans-Text.ttf" w:cs="fonts/IBMPlexSans-Text.ttf"/>
                <w:color w:val="4D5358"/>
                <w:lang w:val="en-US" w:eastAsia="en-US"/>
              </w:rPr>
              <w:t>Technical environment: SQL Server, Oracle PL/SQL, OracleForms, HTML, JavaScript, CSS, Java/J2EE, LDAP, Perl, Unix.</w:t>
            </w:r>
          </w:p>
          <w:p w14:paraId="145154F2">
            <w:pPr>
              <w:jc w:val="both"/>
              <w:rPr>
                <w:rFonts w:ascii="Amasis MT Pro" w:hAnsi="Amasis MT Pro" w:eastAsia="fonts/IBMPlexSans-Text.ttf" w:cs="fonts/IBMPlexSans-Text.ttf"/>
                <w:color w:val="4D5358"/>
                <w:sz w:val="18"/>
                <w:szCs w:val="18"/>
                <w:lang w:val="en-US"/>
              </w:rPr>
            </w:pPr>
          </w:p>
          <w:p w14:paraId="3DD5BA06">
            <w:pPr>
              <w:spacing w:before="155"/>
              <w:rPr>
                <w:rFonts w:hint="default" w:ascii="fonts/IBMPlexSans-Text.ttf" w:hAnsi="fonts/IBMPlexSans-Text.ttf" w:eastAsia="fonts/IBMPlexSans-Text.ttf" w:cs="fonts/IBMPlexSans-Text.ttf"/>
                <w:b/>
                <w:bCs/>
                <w:color w:val="121619"/>
                <w:sz w:val="24"/>
                <w:szCs w:val="24"/>
                <w:lang w:val="en-US" w:eastAsia="en-US"/>
              </w:rPr>
            </w:pPr>
            <w:r>
              <w:rPr>
                <w:rFonts w:hint="default" w:ascii="fonts/IBMPlexSans-Text.ttf" w:hAnsi="fonts/IBMPlexSans-Text.ttf" w:eastAsia="fonts/IBMPlexSans-Text.ttf" w:cs="fonts/IBMPlexSans-Text.ttf"/>
                <w:b/>
                <w:bCs/>
                <w:color w:val="121619"/>
                <w:sz w:val="24"/>
                <w:szCs w:val="24"/>
                <w:lang w:val="en-US" w:eastAsia="en-US"/>
              </w:rPr>
              <w:t>Work experience 7 : Development Engineer</w:t>
            </w:r>
          </w:p>
          <w:p w14:paraId="2D5396F7">
            <w:pPr>
              <w:spacing w:before="155"/>
              <w:rPr>
                <w:rFonts w:ascii="fonts/IBMPlexSans-Text.ttf" w:hAnsi="fonts/IBMPlexSans-Text.ttf" w:eastAsia="fonts/IBMPlexSans-Text.ttf" w:cs="fonts/IBMPlexSans-Text.ttf"/>
                <w:color w:val="4D5358"/>
                <w:lang w:val="zh-CN" w:eastAsia="en-US"/>
              </w:rPr>
            </w:pPr>
            <w:r>
              <w:rPr>
                <w:rFonts w:ascii="fonts/IBMPlexSans-Text.ttf" w:hAnsi="fonts/IBMPlexSans-Text.ttf" w:eastAsia="fonts/IBMPlexSans-Text.ttf" w:cs="fonts/IBMPlexSans-Text.ttf"/>
                <w:color w:val="4D5358"/>
                <w:lang w:val="zh-CN"/>
              </w:rPr>
              <w:br w:type="textWrapping"/>
            </w:r>
            <w:r>
              <w:rPr>
                <w:rFonts w:ascii="fonts/IBMPlexSans-Text.ttf" w:hAnsi="fonts/IBMPlexSans-Text.ttf" w:eastAsia="fonts/IBMPlexSans-Text.ttf" w:cs="fonts/IBMPlexSans-Text.ttf"/>
                <w:color w:val="4D5358"/>
                <w:lang w:val="zh-CN" w:eastAsia="en-US"/>
              </w:rPr>
              <w:t xml:space="preserve">CGI, Morocco | </w:t>
            </w:r>
            <w:r>
              <w:rPr>
                <w:rFonts w:hint="default" w:ascii="fonts/IBMPlexSans-Text.ttf" w:hAnsi="fonts/IBMPlexSans-Text.ttf" w:eastAsia="fonts/IBMPlexSans-Text.ttf" w:cs="fonts/IBMPlexSans-Text.ttf"/>
                <w:color w:val="4D5358"/>
                <w:lang w:val="en-US" w:eastAsia="en-US"/>
              </w:rPr>
              <w:t>07/</w:t>
            </w:r>
            <w:r>
              <w:rPr>
                <w:rFonts w:ascii="fonts/IBMPlexSans-Text.ttf" w:hAnsi="fonts/IBMPlexSans-Text.ttf" w:eastAsia="fonts/IBMPlexSans-Text.ttf" w:cs="fonts/IBMPlexSans-Text.ttf"/>
                <w:color w:val="4D5358"/>
                <w:lang w:val="zh-CN" w:eastAsia="en-US"/>
              </w:rPr>
              <w:t xml:space="preserve">2010 - </w:t>
            </w:r>
            <w:r>
              <w:rPr>
                <w:rFonts w:hint="default" w:ascii="fonts/IBMPlexSans-Text.ttf" w:hAnsi="fonts/IBMPlexSans-Text.ttf" w:eastAsia="fonts/IBMPlexSans-Text.ttf" w:cs="fonts/IBMPlexSans-Text.ttf"/>
                <w:color w:val="4D5358"/>
                <w:lang w:val="en-US" w:eastAsia="en-US"/>
              </w:rPr>
              <w:t>11/2011</w:t>
            </w:r>
          </w:p>
          <w:p w14:paraId="26FCD6F7">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Senior Analyst Programmer for the integration of all PMU business data (customer, product, sales channel, etc.). My role involved development tasks (database migration, enrichment, and the addition of new business rules) and the correction of reported anomalies.</w:t>
            </w:r>
          </w:p>
          <w:p w14:paraId="1AD19C5E">
            <w:pPr>
              <w:spacing w:before="155"/>
              <w:rPr>
                <w:rFonts w:ascii="fonts/IBMPlexSans-Text.ttf" w:hAnsi="fonts/IBMPlexSans-Text.ttf" w:eastAsia="fonts/IBMPlexSans-Text.ttf" w:cs="fonts/IBMPlexSans-Text.ttf"/>
                <w:color w:val="4D5358"/>
                <w:lang w:val="en-US" w:eastAsia="en-US"/>
              </w:rPr>
            </w:pPr>
            <w:r>
              <w:rPr>
                <w:rFonts w:ascii="fonts/IBMPlexSans-Text.ttf" w:hAnsi="fonts/IBMPlexSans-Text.ttf" w:eastAsia="fonts/IBMPlexSans-Text.ttf" w:cs="fonts/IBMPlexSans-Text.ttf"/>
                <w:color w:val="4D5358"/>
                <w:lang w:val="en-US" w:eastAsia="en-US"/>
              </w:rPr>
              <w:t>Technical environment: Talend-TIS, ETL.</w:t>
            </w:r>
            <w:bookmarkStart w:id="0" w:name="_GoBack"/>
            <w:bookmarkEnd w:id="0"/>
          </w:p>
          <w:p w14:paraId="07417DA5">
            <w:pPr>
              <w:jc w:val="both"/>
              <w:rPr>
                <w:rFonts w:ascii="Amasis MT Pro" w:hAnsi="Amasis MT Pro" w:eastAsia="fonts/IBMPlexSans-Text.ttf" w:cs="fonts/IBMPlexSans-Text.ttf"/>
                <w:color w:val="4D5358"/>
                <w:sz w:val="18"/>
                <w:szCs w:val="18"/>
                <w:lang w:val="en-US"/>
              </w:rPr>
            </w:pPr>
          </w:p>
          <w:p w14:paraId="4B9C62F6">
            <w:pPr>
              <w:jc w:val="both"/>
              <w:rPr>
                <w:rFonts w:ascii="Amasis MT Pro" w:hAnsi="Amasis MT Pro" w:eastAsia="fonts/IBMPlexSans-Text.ttf" w:cs="fonts/IBMPlexSans-Text.ttf"/>
                <w:color w:val="4D5358"/>
                <w:sz w:val="18"/>
                <w:szCs w:val="18"/>
                <w:lang w:val="en-US"/>
              </w:rPr>
            </w:pPr>
          </w:p>
          <w:p w14:paraId="498D6643">
            <w:pPr>
              <w:jc w:val="both"/>
              <w:rPr>
                <w:rFonts w:ascii="Amasis MT Pro" w:hAnsi="Amasis MT Pro" w:eastAsia="fonts/IBMPlexSans-Text.ttf" w:cs="fonts/IBMPlexSans-Text.ttf"/>
                <w:color w:val="4D5358"/>
                <w:sz w:val="18"/>
                <w:szCs w:val="18"/>
                <w:lang w:val="en-US"/>
              </w:rPr>
            </w:pPr>
          </w:p>
          <w:p w14:paraId="5098EB96">
            <w:pPr>
              <w:jc w:val="both"/>
              <w:rPr>
                <w:rFonts w:ascii="Amasis MT Pro" w:hAnsi="Amasis MT Pro" w:eastAsia="fonts/IBMPlexSans-Text.ttf" w:cs="fonts/IBMPlexSans-Text.ttf"/>
                <w:color w:val="4D5358"/>
                <w:sz w:val="18"/>
                <w:szCs w:val="18"/>
                <w:lang w:val="en-US"/>
              </w:rPr>
            </w:pPr>
          </w:p>
          <w:p w14:paraId="1592ABC4">
            <w:pPr>
              <w:jc w:val="both"/>
              <w:rPr>
                <w:rFonts w:ascii="Amasis MT Pro" w:hAnsi="Amasis MT Pro" w:eastAsia="fonts/IBMPlexSans-Text.ttf" w:cs="fonts/IBMPlexSans-Text.ttf"/>
                <w:color w:val="4D5358"/>
                <w:sz w:val="18"/>
                <w:szCs w:val="18"/>
                <w:lang w:val="en-US"/>
              </w:rPr>
            </w:pPr>
          </w:p>
          <w:p w14:paraId="36D4429D">
            <w:pPr>
              <w:jc w:val="both"/>
              <w:rPr>
                <w:rFonts w:ascii="Amasis MT Pro" w:hAnsi="Amasis MT Pro" w:eastAsia="fonts/IBMPlexSans-Text.ttf" w:cs="fonts/IBMPlexSans-Text.ttf"/>
                <w:color w:val="4D5358"/>
                <w:sz w:val="18"/>
                <w:szCs w:val="18"/>
                <w:lang w:val="en-US"/>
              </w:rPr>
            </w:pPr>
          </w:p>
          <w:p w14:paraId="080C54A9">
            <w:pPr>
              <w:jc w:val="both"/>
              <w:rPr>
                <w:rFonts w:ascii="Amasis MT Pro" w:hAnsi="Amasis MT Pro" w:eastAsia="fonts/IBMPlexSans-Text.ttf" w:cs="fonts/IBMPlexSans-Text.ttf"/>
                <w:color w:val="4D5358"/>
                <w:sz w:val="18"/>
                <w:szCs w:val="18"/>
                <w:lang w:val="en-US"/>
              </w:rPr>
            </w:pPr>
          </w:p>
          <w:p w14:paraId="5C187FC8">
            <w:pPr>
              <w:jc w:val="both"/>
              <w:rPr>
                <w:rFonts w:ascii="Amasis MT Pro" w:hAnsi="Amasis MT Pro" w:eastAsia="fonts/IBMPlexSans-Text.ttf" w:cs="fonts/IBMPlexSans-Text.ttf"/>
                <w:color w:val="4D5358"/>
                <w:sz w:val="18"/>
                <w:szCs w:val="18"/>
                <w:lang w:val="en-US"/>
              </w:rPr>
            </w:pPr>
          </w:p>
          <w:p w14:paraId="32EAF1D3">
            <w:pPr>
              <w:jc w:val="both"/>
              <w:rPr>
                <w:rFonts w:ascii="Amasis MT Pro" w:hAnsi="Amasis MT Pro" w:eastAsia="fonts/IBMPlexSans-Text.ttf" w:cs="fonts/IBMPlexSans-Text.ttf"/>
                <w:color w:val="4D5358"/>
                <w:sz w:val="18"/>
                <w:szCs w:val="18"/>
                <w:lang w:val="en-US"/>
              </w:rPr>
            </w:pPr>
          </w:p>
          <w:p w14:paraId="7A4C0124">
            <w:pPr>
              <w:jc w:val="both"/>
              <w:rPr>
                <w:rFonts w:ascii="Amasis MT Pro" w:hAnsi="Amasis MT Pro" w:eastAsia="fonts/IBMPlexSans-Text.ttf" w:cs="fonts/IBMPlexSans-Text.ttf"/>
                <w:color w:val="4D5358"/>
                <w:sz w:val="18"/>
                <w:szCs w:val="18"/>
                <w:lang w:val="en-US"/>
              </w:rPr>
            </w:pPr>
          </w:p>
          <w:p w14:paraId="50D4CBF2">
            <w:pPr>
              <w:jc w:val="both"/>
              <w:rPr>
                <w:rFonts w:ascii="Amasis MT Pro" w:hAnsi="Amasis MT Pro" w:eastAsia="fonts/IBMPlexSans-Text.ttf" w:cs="fonts/IBMPlexSans-Text.ttf"/>
                <w:color w:val="4D5358"/>
                <w:sz w:val="18"/>
                <w:szCs w:val="18"/>
                <w:lang w:val="en-US"/>
              </w:rPr>
            </w:pPr>
          </w:p>
          <w:p w14:paraId="0EA0E526">
            <w:pPr>
              <w:jc w:val="both"/>
              <w:rPr>
                <w:rFonts w:ascii="Amasis MT Pro" w:hAnsi="Amasis MT Pro" w:eastAsia="fonts/IBMPlexSans-Text.ttf" w:cs="fonts/IBMPlexSans-Text.ttf"/>
                <w:color w:val="4D5358"/>
                <w:sz w:val="18"/>
                <w:szCs w:val="18"/>
                <w:lang w:val="en-US"/>
              </w:rPr>
            </w:pPr>
          </w:p>
          <w:p w14:paraId="4D839B4D">
            <w:pPr>
              <w:jc w:val="both"/>
              <w:rPr>
                <w:rFonts w:ascii="Amasis MT Pro" w:hAnsi="Amasis MT Pro" w:eastAsia="fonts/IBMPlexSans-Text.ttf" w:cs="fonts/IBMPlexSans-Text.ttf"/>
                <w:color w:val="4D5358"/>
                <w:sz w:val="18"/>
                <w:szCs w:val="18"/>
                <w:lang w:val="en-US"/>
              </w:rPr>
            </w:pPr>
          </w:p>
          <w:p w14:paraId="4CE9B12A">
            <w:pPr>
              <w:jc w:val="both"/>
              <w:rPr>
                <w:rFonts w:ascii="Amasis MT Pro" w:hAnsi="Amasis MT Pro" w:eastAsia="fonts/IBMPlexSans-Text.ttf" w:cs="fonts/IBMPlexSans-Text.ttf"/>
                <w:color w:val="4D5358"/>
                <w:sz w:val="18"/>
                <w:szCs w:val="18"/>
                <w:lang w:val="en-US"/>
              </w:rPr>
            </w:pPr>
          </w:p>
          <w:p w14:paraId="3C3E6A14">
            <w:pPr>
              <w:jc w:val="both"/>
              <w:rPr>
                <w:rFonts w:ascii="Amasis MT Pro" w:hAnsi="Amasis MT Pro" w:eastAsia="fonts/IBMPlexSans-Text.ttf" w:cs="fonts/IBMPlexSans-Text.ttf"/>
                <w:color w:val="4D5358"/>
                <w:sz w:val="18"/>
                <w:szCs w:val="18"/>
                <w:lang w:val="en-US"/>
              </w:rPr>
            </w:pPr>
          </w:p>
          <w:p w14:paraId="41786898">
            <w:pPr>
              <w:jc w:val="both"/>
              <w:rPr>
                <w:rFonts w:ascii="Amasis MT Pro" w:hAnsi="Amasis MT Pro" w:eastAsia="fonts/IBMPlexSans-Text.ttf" w:cs="fonts/IBMPlexSans-Text.ttf"/>
                <w:color w:val="4D5358"/>
                <w:sz w:val="18"/>
                <w:szCs w:val="18"/>
                <w:lang w:val="en-US"/>
              </w:rPr>
            </w:pPr>
          </w:p>
          <w:p w14:paraId="43515534">
            <w:pPr>
              <w:jc w:val="both"/>
              <w:rPr>
                <w:rFonts w:ascii="Amasis MT Pro" w:hAnsi="Amasis MT Pro" w:eastAsia="fonts/IBMPlexSans-Text.ttf" w:cs="fonts/IBMPlexSans-Text.ttf"/>
                <w:color w:val="4D5358"/>
                <w:sz w:val="18"/>
                <w:szCs w:val="18"/>
                <w:lang w:val="en-US"/>
              </w:rPr>
            </w:pPr>
          </w:p>
          <w:p w14:paraId="223E7865">
            <w:pPr>
              <w:jc w:val="both"/>
              <w:rPr>
                <w:rFonts w:ascii="Amasis MT Pro" w:hAnsi="Amasis MT Pro" w:eastAsia="fonts/IBMPlexSans-Text.ttf" w:cs="fonts/IBMPlexSans-Text.ttf"/>
                <w:color w:val="4D5358"/>
                <w:sz w:val="18"/>
                <w:szCs w:val="18"/>
                <w:lang w:val="en-US"/>
              </w:rPr>
            </w:pPr>
          </w:p>
          <w:p w14:paraId="519D7FA0">
            <w:pPr>
              <w:jc w:val="both"/>
              <w:rPr>
                <w:rFonts w:ascii="Amasis MT Pro" w:hAnsi="Amasis MT Pro" w:eastAsia="fonts/IBMPlexSans-Text.ttf" w:cs="fonts/IBMPlexSans-Text.ttf"/>
                <w:color w:val="4D5358"/>
                <w:sz w:val="18"/>
                <w:szCs w:val="18"/>
                <w:lang w:val="en-US"/>
              </w:rPr>
            </w:pPr>
          </w:p>
          <w:p w14:paraId="2235FB2A">
            <w:pPr>
              <w:jc w:val="both"/>
              <w:rPr>
                <w:rFonts w:ascii="Amasis MT Pro" w:hAnsi="Amasis MT Pro" w:eastAsia="fonts/IBMPlexSans-Text.ttf" w:cs="fonts/IBMPlexSans-Text.ttf"/>
                <w:color w:val="4D5358"/>
                <w:sz w:val="18"/>
                <w:szCs w:val="18"/>
                <w:lang w:val="en-US"/>
              </w:rPr>
            </w:pPr>
          </w:p>
          <w:p w14:paraId="0BF12C2A">
            <w:pPr>
              <w:jc w:val="both"/>
              <w:rPr>
                <w:rFonts w:ascii="Amasis MT Pro" w:hAnsi="Amasis MT Pro" w:eastAsia="fonts/IBMPlexSans-Text.ttf" w:cs="fonts/IBMPlexSans-Text.ttf"/>
                <w:color w:val="4D5358"/>
                <w:sz w:val="18"/>
                <w:szCs w:val="18"/>
                <w:lang w:val="en-US"/>
              </w:rPr>
            </w:pPr>
          </w:p>
          <w:p w14:paraId="3E37F9AF">
            <w:pPr>
              <w:jc w:val="both"/>
              <w:rPr>
                <w:rFonts w:ascii="Amasis MT Pro" w:hAnsi="Amasis MT Pro" w:eastAsia="fonts/IBMPlexSans-Text.ttf" w:cs="fonts/IBMPlexSans-Text.ttf"/>
                <w:color w:val="4D5358"/>
                <w:sz w:val="18"/>
                <w:szCs w:val="18"/>
                <w:lang w:val="en-US"/>
              </w:rPr>
            </w:pPr>
          </w:p>
          <w:p w14:paraId="047291C9">
            <w:pPr>
              <w:jc w:val="both"/>
              <w:rPr>
                <w:rFonts w:ascii="Amasis MT Pro" w:hAnsi="Amasis MT Pro" w:eastAsia="fonts/IBMPlexSans-Text.ttf" w:cs="fonts/IBMPlexSans-Text.ttf"/>
                <w:color w:val="4D5358"/>
                <w:sz w:val="18"/>
                <w:szCs w:val="18"/>
                <w:lang w:val="en-US"/>
              </w:rPr>
            </w:pPr>
          </w:p>
          <w:p w14:paraId="3A4F6C04">
            <w:pPr>
              <w:jc w:val="both"/>
              <w:rPr>
                <w:rFonts w:ascii="Amasis MT Pro" w:hAnsi="Amasis MT Pro" w:eastAsia="fonts/IBMPlexSans-Text.ttf" w:cs="fonts/IBMPlexSans-Text.ttf"/>
                <w:color w:val="4D5358"/>
                <w:sz w:val="18"/>
                <w:szCs w:val="18"/>
                <w:lang w:val="en-US"/>
              </w:rPr>
            </w:pPr>
          </w:p>
        </w:tc>
      </w:tr>
    </w:tbl>
    <w:p w14:paraId="6A9DDF04">
      <w:pPr>
        <w:rPr>
          <w:rFonts w:ascii="Amasis MT Pro" w:hAnsi="Amasis MT Pro"/>
          <w:lang w:val="en-US"/>
        </w:rPr>
      </w:pPr>
    </w:p>
    <w:p w14:paraId="78409C9D"/>
    <w:sectPr>
      <w:headerReference r:id="rId5" w:type="first"/>
      <w:footerReference r:id="rId8" w:type="first"/>
      <w:headerReference r:id="rId3" w:type="default"/>
      <w:footerReference r:id="rId6" w:type="default"/>
      <w:headerReference r:id="rId4" w:type="even"/>
      <w:footerReference r:id="rId7" w:type="even"/>
      <w:pgSz w:w="12240" w:h="15840"/>
      <w:pgMar w:top="1440" w:right="480" w:bottom="1440" w:left="48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masis MT Pro">
    <w:altName w:val="Segoe Print"/>
    <w:panose1 w:val="00000000000000000000"/>
    <w:charset w:val="00"/>
    <w:family w:val="roman"/>
    <w:pitch w:val="default"/>
    <w:sig w:usb0="00000000" w:usb1="00000000" w:usb2="00000000" w:usb3="00000000" w:csb0="00000093" w:csb1="00000000"/>
  </w:font>
  <w:font w:name="fonts/IBMPlexSans-SemiBol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fonts/IBMPlexSans-Text.ttf">
    <w:altName w:val="Cambria"/>
    <w:panose1 w:val="00000000000000000000"/>
    <w:charset w:val="00"/>
    <w:family w:val="roman"/>
    <w:pitch w:val="default"/>
    <w:sig w:usb0="00000000" w:usb1="00000000" w:usb2="00000000" w:usb3="00000000" w:csb0="00000000" w:csb1="00000000"/>
  </w:font>
  <w:font w:name="fonts/IBMPlexSans-Medium.ttf">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A7F7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C351F">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6A13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63E26">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42C2C">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C8C19">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B55"/>
    <w:rsid w:val="00071B55"/>
    <w:rsid w:val="00085F75"/>
    <w:rsid w:val="00092CE2"/>
    <w:rsid w:val="00094ED5"/>
    <w:rsid w:val="000C456E"/>
    <w:rsid w:val="000D1CC8"/>
    <w:rsid w:val="000E3FDD"/>
    <w:rsid w:val="000E7FC5"/>
    <w:rsid w:val="00100FDE"/>
    <w:rsid w:val="00126DCD"/>
    <w:rsid w:val="00145F5E"/>
    <w:rsid w:val="001847D0"/>
    <w:rsid w:val="00187F51"/>
    <w:rsid w:val="00193AA5"/>
    <w:rsid w:val="001A6B90"/>
    <w:rsid w:val="001B4515"/>
    <w:rsid w:val="001B4864"/>
    <w:rsid w:val="001D6CB4"/>
    <w:rsid w:val="001F6921"/>
    <w:rsid w:val="00207D08"/>
    <w:rsid w:val="0021595D"/>
    <w:rsid w:val="00222F96"/>
    <w:rsid w:val="00240A17"/>
    <w:rsid w:val="00240CAD"/>
    <w:rsid w:val="002E7742"/>
    <w:rsid w:val="003075D1"/>
    <w:rsid w:val="00320AC6"/>
    <w:rsid w:val="00331E0B"/>
    <w:rsid w:val="003348D0"/>
    <w:rsid w:val="00335B15"/>
    <w:rsid w:val="00347CC1"/>
    <w:rsid w:val="00384DB6"/>
    <w:rsid w:val="003C5B93"/>
    <w:rsid w:val="003D299D"/>
    <w:rsid w:val="003F7261"/>
    <w:rsid w:val="00423E95"/>
    <w:rsid w:val="00424D81"/>
    <w:rsid w:val="00434872"/>
    <w:rsid w:val="00437CB2"/>
    <w:rsid w:val="00442E2B"/>
    <w:rsid w:val="00457556"/>
    <w:rsid w:val="004650B8"/>
    <w:rsid w:val="004836E8"/>
    <w:rsid w:val="004B0527"/>
    <w:rsid w:val="004D56C1"/>
    <w:rsid w:val="004D5C50"/>
    <w:rsid w:val="004F1263"/>
    <w:rsid w:val="004F65FF"/>
    <w:rsid w:val="00547633"/>
    <w:rsid w:val="0056581D"/>
    <w:rsid w:val="00586EED"/>
    <w:rsid w:val="006230D7"/>
    <w:rsid w:val="00655330"/>
    <w:rsid w:val="00667852"/>
    <w:rsid w:val="00682B76"/>
    <w:rsid w:val="006A6321"/>
    <w:rsid w:val="006C626E"/>
    <w:rsid w:val="006D59D4"/>
    <w:rsid w:val="006F032D"/>
    <w:rsid w:val="006F1F0F"/>
    <w:rsid w:val="006F3061"/>
    <w:rsid w:val="00712BCD"/>
    <w:rsid w:val="00737977"/>
    <w:rsid w:val="00762881"/>
    <w:rsid w:val="00786D02"/>
    <w:rsid w:val="007920B4"/>
    <w:rsid w:val="007A0782"/>
    <w:rsid w:val="007A6E3C"/>
    <w:rsid w:val="007C3143"/>
    <w:rsid w:val="007E2D67"/>
    <w:rsid w:val="007F4517"/>
    <w:rsid w:val="00806A7B"/>
    <w:rsid w:val="00841259"/>
    <w:rsid w:val="00851510"/>
    <w:rsid w:val="008909E3"/>
    <w:rsid w:val="00894973"/>
    <w:rsid w:val="008A77BE"/>
    <w:rsid w:val="008C342E"/>
    <w:rsid w:val="008C56C2"/>
    <w:rsid w:val="008E7891"/>
    <w:rsid w:val="008F5F67"/>
    <w:rsid w:val="00900B32"/>
    <w:rsid w:val="00907E4D"/>
    <w:rsid w:val="00935EC3"/>
    <w:rsid w:val="00937294"/>
    <w:rsid w:val="009617B9"/>
    <w:rsid w:val="00967E8D"/>
    <w:rsid w:val="00967EC3"/>
    <w:rsid w:val="009C6E53"/>
    <w:rsid w:val="00A20376"/>
    <w:rsid w:val="00A52F02"/>
    <w:rsid w:val="00A81C8B"/>
    <w:rsid w:val="00A82646"/>
    <w:rsid w:val="00A82740"/>
    <w:rsid w:val="00A85C7B"/>
    <w:rsid w:val="00AA3B91"/>
    <w:rsid w:val="00AB2CF9"/>
    <w:rsid w:val="00AD1707"/>
    <w:rsid w:val="00AD1CB0"/>
    <w:rsid w:val="00AE3C4C"/>
    <w:rsid w:val="00AF290D"/>
    <w:rsid w:val="00B15105"/>
    <w:rsid w:val="00B159E3"/>
    <w:rsid w:val="00B22780"/>
    <w:rsid w:val="00B239FF"/>
    <w:rsid w:val="00B307E9"/>
    <w:rsid w:val="00B4102B"/>
    <w:rsid w:val="00B5316C"/>
    <w:rsid w:val="00B7465C"/>
    <w:rsid w:val="00BA0C28"/>
    <w:rsid w:val="00BA1810"/>
    <w:rsid w:val="00BE4CA8"/>
    <w:rsid w:val="00BF3496"/>
    <w:rsid w:val="00C31852"/>
    <w:rsid w:val="00C3431C"/>
    <w:rsid w:val="00C520CB"/>
    <w:rsid w:val="00C6620C"/>
    <w:rsid w:val="00C83288"/>
    <w:rsid w:val="00C9789D"/>
    <w:rsid w:val="00CB5B7B"/>
    <w:rsid w:val="00CC278A"/>
    <w:rsid w:val="00CD57F8"/>
    <w:rsid w:val="00D04081"/>
    <w:rsid w:val="00D04F0E"/>
    <w:rsid w:val="00D3478F"/>
    <w:rsid w:val="00D43717"/>
    <w:rsid w:val="00D5537A"/>
    <w:rsid w:val="00D562E9"/>
    <w:rsid w:val="00D61973"/>
    <w:rsid w:val="00D74BB6"/>
    <w:rsid w:val="00D9552D"/>
    <w:rsid w:val="00DC27FD"/>
    <w:rsid w:val="00DC74ED"/>
    <w:rsid w:val="00DD1F7B"/>
    <w:rsid w:val="00DD7843"/>
    <w:rsid w:val="00E41BDA"/>
    <w:rsid w:val="00ED131B"/>
    <w:rsid w:val="00EE0A4F"/>
    <w:rsid w:val="00EF685D"/>
    <w:rsid w:val="00F12603"/>
    <w:rsid w:val="00F27098"/>
    <w:rsid w:val="00F5622E"/>
    <w:rsid w:val="00F96B71"/>
    <w:rsid w:val="00FA4653"/>
    <w:rsid w:val="00FC1372"/>
    <w:rsid w:val="00FC76F3"/>
    <w:rsid w:val="00FE0E9D"/>
    <w:rsid w:val="00FE173E"/>
    <w:rsid w:val="00FE3AE3"/>
    <w:rsid w:val="0FB029A1"/>
    <w:rsid w:val="399F6380"/>
    <w:rsid w:val="3C8261D8"/>
    <w:rsid w:val="524D358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23"/>
    <w:unhideWhenUsed/>
    <w:uiPriority w:val="99"/>
    <w:pPr>
      <w:tabs>
        <w:tab w:val="center" w:pos="4680"/>
        <w:tab w:val="right" w:pos="9360"/>
      </w:tabs>
    </w:p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Times New Roman" w:hAnsi="Times New Roman" w:eastAsia="Times New Roman" w:cs="Times New Roman"/>
      <w:lang w:val="zh-CN" w:eastAsia="zh-CN" w:bidi="ar-SA"/>
    </w:rPr>
  </w:style>
  <w:style w:type="paragraph" w:styleId="14">
    <w:name w:val="header"/>
    <w:basedOn w:val="1"/>
    <w:link w:val="22"/>
    <w:unhideWhenUsed/>
    <w:uiPriority w:val="99"/>
    <w:pPr>
      <w:tabs>
        <w:tab w:val="center" w:pos="4680"/>
        <w:tab w:val="right" w:pos="9360"/>
      </w:tabs>
    </w:p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basedOn w:val="1"/>
    <w:unhideWhenUsed/>
    <w:uiPriority w:val="99"/>
    <w:pPr>
      <w:spacing w:before="100" w:beforeAutospacing="1" w:after="100" w:afterAutospacing="1"/>
    </w:pPr>
    <w:rPr>
      <w:sz w:val="24"/>
      <w:szCs w:val="24"/>
      <w:lang w:val="en-US" w:eastAsia="en-US"/>
    </w:rPr>
  </w:style>
  <w:style w:type="paragraph" w:styleId="18">
    <w:name w:val="Title"/>
    <w:qFormat/>
    <w:uiPriority w:val="10"/>
    <w:rPr>
      <w:rFonts w:ascii="Times New Roman" w:hAnsi="Times New Roman" w:eastAsia="Times New Roman" w:cs="Times New Roman"/>
      <w:sz w:val="56"/>
      <w:szCs w:val="56"/>
      <w:lang w:val="zh-CN" w:eastAsia="zh-CN" w:bidi="ar-SA"/>
    </w:rPr>
  </w:style>
  <w:style w:type="paragraph" w:customStyle="1" w:styleId="19">
    <w:name w:val="Strong1"/>
    <w:qFormat/>
    <w:uiPriority w:val="0"/>
    <w:rPr>
      <w:rFonts w:ascii="Times New Roman" w:hAnsi="Times New Roman" w:eastAsia="Times New Roman" w:cs="Times New Roman"/>
      <w:b/>
      <w:bCs/>
      <w:lang w:val="zh-CN" w:eastAsia="zh-CN" w:bidi="ar-SA"/>
    </w:rPr>
  </w:style>
  <w:style w:type="paragraph" w:styleId="20">
    <w:name w:val="List Paragraph"/>
    <w:qFormat/>
    <w:uiPriority w:val="0"/>
    <w:rPr>
      <w:rFonts w:ascii="Times New Roman" w:hAnsi="Times New Roman" w:eastAsia="Times New Roman" w:cs="Times New Roman"/>
      <w:lang w:val="zh-CN" w:eastAsia="zh-CN" w:bidi="ar-SA"/>
    </w:rPr>
  </w:style>
  <w:style w:type="character" w:customStyle="1" w:styleId="21">
    <w:name w:val="Footnote Text Char"/>
    <w:link w:val="13"/>
    <w:semiHidden/>
    <w:unhideWhenUsed/>
    <w:qFormat/>
    <w:uiPriority w:val="99"/>
    <w:rPr>
      <w:sz w:val="20"/>
      <w:szCs w:val="20"/>
    </w:rPr>
  </w:style>
  <w:style w:type="character" w:customStyle="1" w:styleId="22">
    <w:name w:val="Header Char"/>
    <w:basedOn w:val="8"/>
    <w:link w:val="14"/>
    <w:uiPriority w:val="99"/>
  </w:style>
  <w:style w:type="character" w:customStyle="1" w:styleId="23">
    <w:name w:val="Footer Char"/>
    <w:basedOn w:val="8"/>
    <w:link w:val="11"/>
    <w:uiPriority w:val="99"/>
  </w:style>
  <w:style w:type="character" w:customStyle="1" w:styleId="24">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IBM Corporation</Company>
  <Pages>4</Pages>
  <Words>504</Words>
  <Characters>3104</Characters>
  <Lines>144</Lines>
  <Paragraphs>64</Paragraphs>
  <TotalTime>0</TotalTime>
  <ScaleCrop>false</ScaleCrop>
  <LinksUpToDate>false</LinksUpToDate>
  <CharactersWithSpaces>3572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2024-11-02T18:19:00Z</dcterms:created>
  <dc:creator>Un-named</dc:creator>
  <cp:lastModifiedBy>SaraBour</cp:lastModifiedBy>
  <cp:lastPrinted>2024-02-26T14:47:00Z</cp:lastPrinted>
  <dcterms:modified xsi:type="dcterms:W3CDTF">2026-04-23T08:50:39Z</dcterms:modified>
  <dc:title>CV</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eyJoZGlkIjoiMDI3Y2I5YTBjYWMzMzJiNWQ1MWNkYWE0OTNmZjZhZWIifQ==</vt:lpwstr>
  </property>
  <property fmtid="{D5CDD505-2E9C-101B-9397-08002B2CF9AE}" pid="3" name="KSOProductBuildVer">
    <vt:lpwstr>1033-12.1.0.25862</vt:lpwstr>
  </property>
  <property fmtid="{D5CDD505-2E9C-101B-9397-08002B2CF9AE}" pid="4" name="ICV">
    <vt:lpwstr>FFD87659BD6D463E96447EC13FF47984_12</vt:lpwstr>
  </property>
</Properties>
</file>