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rFonts w:ascii="Arial" w:hAnsi="Arial" w:eastAsia="Arial" w:cs="Arial"/>
          <w:b/>
          <w:color w:val="B08D57"/>
          <w:sz w:val="26"/>
        </w:rPr>
        <w:t>AMAVIO</w:t>
      </w:r>
    </w:p>
    <w:p>
      <w:pPr>
        <w:spacing w:before="680" w:after="200"/>
      </w:pPr>
      <w:r>
        <w:rPr>
          <w:rFonts w:ascii="Arial" w:hAnsi="Arial" w:eastAsia="Arial" w:cs="Arial"/>
          <w:b/>
          <w:color w:val="102A43"/>
          <w:sz w:val="68"/>
        </w:rPr>
        <w:t>Businessplan</w:t>
      </w:r>
    </w:p>
    <w:p>
      <w:pPr>
        <w:spacing w:after="480"/>
        <w:pBdr>
          <w:bottom w:val="single" w:sz="12" w:space="10" w:color="B08D57"/>
        </w:pBdr>
      </w:pPr>
      <w:r>
        <w:rPr>
          <w:rFonts w:ascii="Arial" w:hAnsi="Arial" w:eastAsia="Arial" w:cs="Arial"/>
          <w:color w:val="1E3A5F"/>
          <w:sz w:val="36"/>
        </w:rPr>
        <w:t>Workforce Housing, Arrival Management</w:t>
        <w:br/>
        <w:t>und Integration als B2B-Infrastruktur</w:t>
      </w:r>
    </w:p>
    <w:p>
      <w:pPr>
        <w:spacing w:after="100"/>
      </w:pPr>
      <w:r>
        <w:rPr>
          <w:rFonts w:ascii="Arial" w:hAnsi="Arial" w:eastAsia="Arial" w:cs="Arial"/>
          <w:color w:val="243447"/>
          <w:sz w:val="22"/>
        </w:rPr>
        <w:t>für Krankenhäuser, Pflegeeinrichtungen und Arbeitgeber mit internationalem Fachkräftebedarf</w:t>
      </w:r>
    </w:p>
    <w:p>
      <w:pPr>
        <w:spacing w:before="680" w:after="200"/>
        <w:shd w:fill="F7F3EA"/>
        <w:pBdr>
          <w:left w:val="single" w:sz="18" w:space="10" w:color="B08D57"/>
        </w:pBdr>
        <w:ind w:left="180" w:right="120"/>
      </w:pPr>
      <w:r>
        <w:rPr>
          <w:rFonts w:ascii="Arial" w:hAnsi="Arial" w:eastAsia="Arial" w:cs="Arial"/>
          <w:b/>
          <w:color w:val="B08D57"/>
          <w:sz w:val="19"/>
        </w:rPr>
        <w:t xml:space="preserve">LEITIDEE  </w:t>
      </w:r>
      <w:r>
        <w:rPr>
          <w:rFonts w:ascii="Arial" w:hAnsi="Arial" w:eastAsia="Arial" w:cs="Arial"/>
          <w:color w:val="243447"/>
          <w:sz w:val="21"/>
        </w:rPr>
        <w:t>AMAVIO überführt Personalgewinnung in einen planbaren Arbeitsstart: durch Wohnraumbeschaffung, Projektsteuerung, Bezugsfertigkeit, Ankunft und organisatorische Stabilisierung.</w:t>
      </w:r>
    </w:p>
    <w:p>
      <w:pPr>
        <w:spacing w:before="1360" w:after="60"/>
      </w:pPr>
      <w:r>
        <w:rPr>
          <w:rFonts w:ascii="Arial" w:hAnsi="Arial" w:eastAsia="Arial" w:cs="Arial"/>
          <w:b/>
          <w:color w:val="102A43"/>
          <w:sz w:val="21"/>
        </w:rPr>
        <w:t>AMAVIO Holding UG (haftungsbeschränkt)</w:t>
      </w:r>
    </w:p>
    <w:p>
      <w:pPr>
        <w:spacing w:after="40"/>
      </w:pPr>
      <w:r>
        <w:rPr>
          <w:rFonts w:ascii="Arial" w:hAnsi="Arial" w:eastAsia="Arial" w:cs="Arial"/>
          <w:color w:val="5B6B7A"/>
          <w:sz w:val="18"/>
        </w:rPr>
        <w:t>Düsseldorf · Kernfassung 1.7 · AMAVIO Living · Preis- und Cash-Synchronisierung 28. Juli 2026</w:t>
      </w:r>
    </w:p>
    <w:p>
      <w:pPr>
        <w:spacing w:after="40"/>
      </w:pPr>
      <w:r>
        <w:rPr>
          <w:rFonts w:ascii="Arial" w:hAnsi="Arial" w:eastAsia="Arial" w:cs="Arial"/>
          <w:color w:val="5B6B7A"/>
          <w:sz w:val="18"/>
        </w:rPr>
        <w:t>Gründer: Zaki Amawi</w:t>
      </w:r>
    </w:p>
    <w:p>
      <w:pPr>
        <w:spacing w:after="40"/>
      </w:pPr>
      <w:r>
        <w:rPr>
          <w:rFonts w:ascii="Arial" w:hAnsi="Arial" w:eastAsia="Arial" w:cs="Arial"/>
          <w:color w:val="5B6B7A"/>
          <w:sz w:val="18"/>
        </w:rPr>
        <w:t>Verwendungszweck: Tragfähigkeitsprüfung, Finanzierung und Unternehmenssteuerung</w:t>
      </w:r>
    </w:p>
    <w:p>
      <w:pPr>
        <w:pStyle w:val="Heading1"/>
        <w:keepNext/>
        <w:pBdr>
          <w:bottom w:val="single" w:sz="8" w:space="6" w:color="B08D57"/>
        </w:pBdr>
        <w:spacing w:after="80" w:before="140" w:line="240" w:lineRule="auto"/>
      </w:pPr>
      <w:r>
        <w:rPr>
          <w:rFonts w:ascii="Arial" w:hAnsi="Arial" w:eastAsia="Arial" w:cs="Arial"/>
          <w:b/>
          <w:color w:val="102A43"/>
          <w:sz w:val="32"/>
        </w:rPr>
        <w:t>Dokumentprofil und Leselogik</w:t>
      </w:r>
    </w:p>
    <w:p>
      <w:pPr>
        <w:pStyle w:val="BodyText"/>
        <w:spacing w:after="44" w:before="0" w:line="245" w:lineRule="auto"/>
        <w:jc w:val="both"/>
      </w:pPr>
      <w:r>
        <w:rPr>
          <w:sz w:val="19"/>
        </w:rPr>
        <w:t>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gesondert zu prüfende Wachstumsoption.</w:t>
      </w:r>
    </w:p>
    <w:p>
      <w:pPr>
        <w:spacing w:before="0" w:after="44" w:line="245" w:lineRule="auto"/>
        <w:shd w:fill="EEF3F7"/>
        <w:pBdr>
          <w:left w:val="single" w:sz="18" w:space="10" w:color="1E3A5F"/>
        </w:pBdr>
        <w:ind w:left="180" w:right="120"/>
      </w:pPr>
      <w:r>
        <w:rPr>
          <w:rFonts w:ascii="Arial" w:hAnsi="Arial" w:eastAsia="Arial" w:cs="Arial"/>
          <w:b/>
          <w:color w:val="1E3A5F"/>
          <w:sz w:val="19"/>
        </w:rPr>
        <w:t xml:space="preserve">EVIDENZSTANDARD  </w:t>
      </w:r>
      <w:r>
        <w:rPr>
          <w:rFonts w:ascii="Arial" w:hAnsi="Arial" w:eastAsia="Arial" w:cs="Arial"/>
          <w:color w:val="243447"/>
          <w:sz w:val="19"/>
        </w:rPr>
        <w:t>Externe Tatsachen werden über zentral nummerierte Quellen belegt. Preis-, Zeit-, Kapazitäts- und Umsatzwerte sind AMAVIO-Planannahmen und mit dem 36-Monats-Finanzmodell abzugleichen. Fördermittel, LOIs und spätere Objektumsätze werden nicht als sicher vorausgesetzt.</w:t>
      </w:r>
    </w:p>
    <w:tbl>
      <w:tblPr>
        <w:tblStyle w:val="TableGrid"/>
        <w:tblW w:type="auto" w:w="0"/>
        <w:tblLayout w:type="fixed"/>
        <w:tblLook w:firstColumn="1" w:firstRow="1" w:lastColumn="0" w:lastRow="0" w:noHBand="0" w:noVBand="1" w:val="04A0"/>
      </w:tblPr>
      <w:tblGrid>
        <w:gridCol w:w="2438"/>
        <w:gridCol w:w="7143"/>
      </w:tblGrid>
      <w:tr>
        <w:trPr>
          <w:tblHeader/>
        </w:trPr>
        <w:tc>
          <w:tcPr>
            <w:tcW w:type="dxa" w:w="4876"/>
            <w:vAlign w:val="center"/>
            <w:shd w:fill="102A43"/>
            <w:tcMar>
              <w:top w:w="55" w:type="dxa"/>
              <w:start w:w="55" w:type="dxa"/>
              <w:bottom w:w="55" w:type="dxa"/>
              <w:end w:w="55" w:type="dxa"/>
            </w:tcMar>
          </w:tcPr>
          <w:p>
            <w:pPr>
              <w:spacing w:after="0" w:before="0" w:line="230" w:lineRule="auto"/>
            </w:pPr>
            <w:r>
              <w:rPr>
                <w:rFonts w:ascii="Arial" w:hAnsi="Arial" w:eastAsia="Arial" w:cs="Arial"/>
                <w:b/>
                <w:color w:val="FFFFFF"/>
                <w:sz w:val="16"/>
              </w:rPr>
              <w:t>Kernpunkt</w:t>
            </w:r>
          </w:p>
        </w:tc>
        <w:tc>
          <w:tcPr>
            <w:tcW w:type="dxa" w:w="4876"/>
            <w:vAlign w:val="center"/>
            <w:shd w:fill="102A43"/>
            <w:tcMar>
              <w:top w:w="55" w:type="dxa"/>
              <w:start w:w="55" w:type="dxa"/>
              <w:bottom w:w="55" w:type="dxa"/>
              <w:end w:w="55" w:type="dxa"/>
            </w:tcMar>
          </w:tcPr>
          <w:p>
            <w:pPr>
              <w:spacing w:after="0" w:before="0" w:line="230" w:lineRule="auto"/>
            </w:pPr>
            <w:r>
              <w:rPr>
                <w:rFonts w:ascii="Arial" w:hAnsi="Arial" w:eastAsia="Arial" w:cs="Arial"/>
                <w:b/>
                <w:color w:val="FFFFFF"/>
                <w:sz w:val="16"/>
              </w:rPr>
              <w:t>Planungsstand</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Rechtsträger</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AMAVIO Holding UG (haftungsbeschränkt)</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Operativer Marktstart</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Nordrhein-Westfalen; anschließend kunden- und partnergeführt weitere Regionen</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Primäre Startkunden</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Krankenhäuser, Pflegeeinrichtungen und internationale Recruitingpartner</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Erlöslogik</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Blueprint-, Launch- und laufende Housing-&amp;-Arrival-Office-Mandate</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Startfinanzierung</w:t>
            </w:r>
          </w:p>
        </w:tc>
        <w:tc>
          <w:tcPr>
            <w:tcW w:type="dxa" w:w="7143"/>
            <w:vAlign w:val="center"/>
            <w:tcMar>
              <w:top w:w="55" w:type="dxa"/>
              <w:start w:w="55" w:type="dxa"/>
              <w:bottom w:w="55" w:type="dxa"/>
              <w:end w:w="55" w:type="dxa"/>
            </w:tcMar>
          </w:tcPr>
          <w:p>
            <w:r>
              <w:t>25.000 EUR Gesamtstartmittel in Planung: 500 EUR Stammkapital + 24.500 EUR dokumentierte Zuführung/Darlehen</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Basiscase Umsatz</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93.500 EUR / 269.000 EUR / 442.000 EUR in den Geschäftsjahren 1–3</w:t>
            </w:r>
          </w:p>
        </w:tc>
      </w:tr>
      <w:tr>
        <w:tc>
          <w:tcPr>
            <w:tcW w:type="dxa" w:w="2438"/>
            <w:vAlign w:val="center"/>
            <w:tcMar>
              <w:top w:w="55" w:type="dxa"/>
              <w:start w:w="55" w:type="dxa"/>
              <w:bottom w:w="55" w:type="dxa"/>
              <w:end w:w="55" w:type="dxa"/>
            </w:tcMar>
          </w:tcPr>
          <w:p>
            <w:pPr>
              <w:spacing w:after="0" w:before="0" w:line="230" w:lineRule="auto"/>
            </w:pPr>
            <w:r>
              <w:rPr>
                <w:rFonts w:ascii="Arial" w:hAnsi="Arial" w:eastAsia="Arial" w:cs="Arial"/>
                <w:b/>
                <w:color w:val="102A43"/>
                <w:sz w:val="16"/>
              </w:rPr>
              <w:t>Wachstumsprinzip</w:t>
            </w:r>
          </w:p>
        </w:tc>
        <w:tc>
          <w:tcPr>
            <w:tcW w:type="dxa" w:w="7143"/>
            <w:vAlign w:val="center"/>
            <w:tcMar>
              <w:top w:w="55" w:type="dxa"/>
              <w:start w:w="55" w:type="dxa"/>
              <w:bottom w:w="55" w:type="dxa"/>
              <w:end w:w="55" w:type="dxa"/>
            </w:tcMar>
          </w:tcPr>
          <w:p>
            <w:pPr>
              <w:spacing w:after="0" w:before="0" w:line="230" w:lineRule="auto"/>
            </w:pPr>
            <w:r>
              <w:rPr>
                <w:rFonts w:ascii="Arial" w:hAnsi="Arial" w:eastAsia="Arial" w:cs="Arial"/>
                <w:b w:val="0"/>
                <w:color w:val="243447"/>
                <w:sz w:val="16"/>
              </w:rPr>
              <w:t>Bezahltes Mandat und nachgewiesene Nachfrage vor Personal-, Software- oder Objektbindung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 Geschäftsidee und Leistungsmodell</w:t>
      </w:r>
    </w:p>
    <w:p>
      <w:pPr>
        <w:pStyle w:val="Heading2"/>
        <w:keepNext/>
        <w:pBdr>
          <w:bottom w:val="single" w:sz="8" w:space="6" w:color="B08D57"/>
        </w:pBdr>
        <w:spacing w:after="50" w:before="100" w:line="240" w:lineRule="auto"/>
      </w:pPr>
      <w:r>
        <w:rPr>
          <w:rFonts w:ascii="Arial" w:hAnsi="Arial" w:eastAsia="Arial" w:cs="Arial"/>
          <w:b/>
          <w:color w:val="1E3A5F"/>
          <w:sz w:val="24"/>
        </w:rPr>
        <w:t>Executive Summary</w:t>
      </w:r>
    </w:p>
    <w:p>
      <w:pPr>
        <w:pStyle w:val="BodyText"/>
        <w:spacing w:after="44" w:before="0" w:line="245" w:lineRule="auto"/>
        <w:jc w:val="both"/>
      </w:pPr>
      <w:r>
        <w:rPr>
          <w:rFonts w:ascii="Arial" w:hAnsi="Arial" w:eastAsia="Arial"/>
          <w:i w:val="0"/>
          <w:color w:val="243447"/>
          <w:sz w:val="19"/>
        </w:rPr>
        <w:t>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pPr>
        <w:pStyle w:val="BodyText"/>
        <w:spacing w:after="44" w:before="0" w:line="245" w:lineRule="auto"/>
        <w:jc w:val="both"/>
      </w:pPr>
      <w:r>
        <w:rPr>
          <w:rFonts w:ascii="Arial" w:hAnsi="Arial" w:eastAsia="Arial"/>
          <w:i w:val="0"/>
          <w:color w:val="243447"/>
          <w:sz w:val="19"/>
        </w:rPr>
        <w:t>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pPr>
        <w:pStyle w:val="BodyText"/>
        <w:spacing w:after="44" w:before="0" w:line="245" w:lineRule="auto"/>
        <w:jc w:val="both"/>
      </w:pPr>
      <w:r>
        <w:rPr>
          <w:rFonts w:ascii="Arial" w:hAnsi="Arial" w:eastAsia="Arial"/>
          <w:i w:val="0"/>
          <w:color w:val="243447"/>
          <w:sz w:val="19"/>
        </w:rPr>
        <w:t>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POSITIONIERUNG  </w:t>
      </w:r>
      <w:r>
        <w:rPr>
          <w:rFonts w:ascii="Arial" w:hAnsi="Arial" w:eastAsia="Arial"/>
          <w:color w:val="243447"/>
          <w:sz w:val="19"/>
        </w:rPr>
        <w:t>AMAVIO ist kein klassischer Makler und kein Relocation-Dienstleister mit einzelnen Zusatzleistungen. Das Unternehmen positioniert sich als Workforce-Housing-, Arrival- und Integrationspartner – mit einem festen Ansprechpartner, klaren Projektphasen und messbaren Ergebnissen.</w:t>
      </w:r>
    </w:p>
    <w:p>
      <w:pPr>
        <w:pStyle w:val="BodyText"/>
        <w:spacing w:after="44" w:before="0" w:line="245" w:lineRule="auto"/>
        <w:jc w:val="both"/>
      </w:pPr>
      <w:r>
        <w:rPr>
          <w:rFonts w:ascii="Arial" w:hAnsi="Arial" w:eastAsia="Arial"/>
          <w:i w:val="0"/>
          <w:color w:val="243447"/>
          <w:sz w:val="19"/>
        </w:rPr>
        <w:t>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pPr>
        <w:pStyle w:val="BodyText"/>
        <w:spacing w:after="44" w:before="0" w:line="245" w:lineRule="auto"/>
        <w:jc w:val="both"/>
      </w:pPr>
      <w:r>
        <w:rPr>
          <w:rFonts w:ascii="Arial" w:hAnsi="Arial" w:eastAsia="Arial"/>
          <w:i w:val="0"/>
          <w:color w:val="243447"/>
          <w:sz w:val="19"/>
        </w:rPr>
        <w:t>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pPr>
        <w:pStyle w:val="BodyText"/>
        <w:spacing w:after="44" w:before="0" w:line="245" w:lineRule="auto"/>
        <w:jc w:val="both"/>
      </w:pPr>
      <w:r>
        <w:rPr>
          <w:rFonts w:ascii="Arial" w:hAnsi="Arial" w:eastAsia="Arial"/>
          <w:i w:val="0"/>
          <w:color w:val="243447"/>
          <w:sz w:val="19"/>
        </w:rPr>
        <w:t>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pPr>
        <w:pStyle w:val="Heading2"/>
        <w:keepNext/>
        <w:pBdr>
          <w:bottom w:val="single" w:sz="8" w:space="6" w:color="B08D57"/>
        </w:pBdr>
        <w:spacing w:after="50" w:before="100" w:line="240" w:lineRule="auto"/>
      </w:pPr>
      <w:r>
        <w:rPr>
          <w:rFonts w:ascii="Arial" w:hAnsi="Arial" w:eastAsia="Arial" w:cs="Arial"/>
          <w:b/>
          <w:color w:val="1E3A5F"/>
          <w:sz w:val="24"/>
        </w:rPr>
        <w:t>Ausgangslage: Die operative Lücke nach dem Recruiting</w:t>
      </w:r>
    </w:p>
    <w:p>
      <w:pPr>
        <w:pStyle w:val="BodyText"/>
        <w:spacing w:after="44" w:before="0" w:line="245" w:lineRule="auto"/>
        <w:jc w:val="both"/>
      </w:pPr>
      <w:r>
        <w:rPr>
          <w:rFonts w:ascii="Arial" w:hAnsi="Arial" w:eastAsia="Arial"/>
          <w:i w:val="0"/>
          <w:color w:val="243447"/>
          <w:sz w:val="19"/>
        </w:rPr>
        <w:t>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Personalbedarf  </w:t>
      </w:r>
      <w:r>
        <w:rPr>
          <w:rFonts w:ascii="Arial" w:hAnsi="Arial" w:eastAsia="Arial"/>
          <w:color w:val="243447"/>
          <w:sz w:val="19"/>
        </w:rPr>
        <w:t>Ein Arbeitgeber gewinnt internationale Beschäftigte und definiert Starttermine, Einsatzorte sowie Qualifikationsanforderungen.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Wohn- und Ankunftsbedarf  </w:t>
      </w:r>
      <w:r>
        <w:rPr>
          <w:rFonts w:ascii="Arial" w:hAnsi="Arial" w:eastAsia="Arial"/>
          <w:color w:val="243447"/>
          <w:sz w:val="19"/>
        </w:rPr>
        <w:t>Die Beschäftigten benötigen rechtzeitig geeigneten Wohnraum, nachvollziehbare Unterlagen und klare Ansprechpartner.</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Operative Fragmentierung  </w:t>
      </w:r>
      <w:r>
        <w:rPr>
          <w:rFonts w:ascii="Arial" w:hAnsi="Arial" w:eastAsia="Arial"/>
          <w:color w:val="243447"/>
          <w:sz w:val="19"/>
        </w:rPr>
        <w:t>HR, Führungskräfte, Vermieter, Handwerker, Lieferanten und Behörden arbeiten häufig ohne gemeinsame Projektsteuerung.</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Risikomoment  </w:t>
      </w:r>
      <w:r>
        <w:rPr>
          <w:rFonts w:ascii="Arial" w:hAnsi="Arial" w:eastAsia="Arial"/>
          <w:color w:val="243447"/>
          <w:sz w:val="19"/>
        </w:rPr>
        <w:t>Verzögerungen oder fehlende Orientierung können den Arbeitsstart, die Zufriedenheit und die Bindung beeinträchtigen.</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AMAVIO-Lösung  </w:t>
      </w:r>
      <w:r>
        <w:rPr>
          <w:rFonts w:ascii="Arial" w:hAnsi="Arial" w:eastAsia="Arial"/>
          <w:color w:val="243447"/>
          <w:sz w:val="19"/>
        </w:rPr>
        <w:t>Ein durchgängiger Prozess verbindet Bedarf, Objekt, Bezugsfertigkeit, Einzug, Stabilisierung und Managementreporting.</w:t>
      </w:r>
    </w:p>
    <w:p>
      <w:pPr>
        <w:pStyle w:val="Heading3"/>
        <w:keepNext/>
        <w:spacing w:after="30" w:before="70" w:line="240" w:lineRule="auto"/>
      </w:pPr>
      <w:r>
        <w:rPr>
          <w:rFonts w:ascii="Arial" w:hAnsi="Arial" w:eastAsia="Arial" w:cs="Arial"/>
          <w:b/>
          <w:color w:val="102A43"/>
          <w:sz w:val="20"/>
        </w:rPr>
        <w:t>Fachkräfteengpass und Wohnraum als Standortfaktor</w:t>
      </w:r>
    </w:p>
    <w:p>
      <w:pPr>
        <w:pStyle w:val="BodyText"/>
        <w:spacing w:after="44" w:before="0" w:line="245" w:lineRule="auto"/>
        <w:jc w:val="both"/>
      </w:pPr>
      <w:r>
        <w:rPr>
          <w:rFonts w:ascii="Arial" w:hAnsi="Arial" w:eastAsia="Arial"/>
          <w:i w:val="0"/>
          <w:color w:val="243447"/>
          <w:sz w:val="19"/>
        </w:rPr>
        <w:t>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pPr>
        <w:pStyle w:val="BodyText"/>
        <w:spacing w:after="44" w:before="0" w:line="245" w:lineRule="auto"/>
        <w:jc w:val="both"/>
      </w:pPr>
      <w:r>
        <w:rPr>
          <w:rFonts w:ascii="Arial" w:hAnsi="Arial" w:eastAsia="Arial"/>
          <w:i w:val="0"/>
          <w:color w:val="243447"/>
          <w:sz w:val="19"/>
        </w:rPr>
        <w:t>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Pflegebeschäftigte das Rentenalter. Diese Entwicklung macht internationale Personalgewinnung zu einem dauerhaften Teil der Personalstrategie – und Wohn- sowie Integrationsinfrastruktur zu einer operativen Voraussetzung. [Q17]</w:t>
      </w:r>
    </w:p>
    <w:p>
      <w:pPr>
        <w:pStyle w:val="Heading3"/>
        <w:keepNext/>
        <w:spacing w:after="30" w:before="70" w:line="240" w:lineRule="auto"/>
      </w:pPr>
      <w:r>
        <w:rPr>
          <w:rFonts w:ascii="Arial" w:hAnsi="Arial" w:eastAsia="Arial" w:cs="Arial"/>
          <w:b/>
          <w:color w:val="102A43"/>
          <w:sz w:val="20"/>
        </w:rPr>
        <w:t>Wohnraum als Recruiting- und Bindungsinstrument</w:t>
      </w:r>
    </w:p>
    <w:p>
      <w:pPr>
        <w:pStyle w:val="BodyText"/>
        <w:spacing w:after="44" w:before="0" w:line="245" w:lineRule="auto"/>
        <w:jc w:val="both"/>
      </w:pPr>
      <w:r>
        <w:rPr>
          <w:rFonts w:ascii="Arial" w:hAnsi="Arial" w:eastAsia="Arial"/>
          <w:i w:val="0"/>
          <w:color w:val="243447"/>
          <w:sz w:val="19"/>
        </w:rPr>
        <w:t>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pPr>
        <w:pStyle w:val="BodyText"/>
        <w:spacing w:after="44" w:before="0" w:line="245" w:lineRule="auto"/>
        <w:jc w:val="both"/>
      </w:pPr>
      <w:r>
        <w:rPr>
          <w:rFonts w:ascii="Arial" w:hAnsi="Arial" w:eastAsia="Arial"/>
          <w:i w:val="0"/>
          <w:color w:val="243447"/>
          <w:sz w:val="19"/>
        </w:rPr>
        <w:t>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pPr>
        <w:pStyle w:val="Heading2"/>
        <w:keepNext/>
        <w:pBdr>
          <w:bottom w:val="single" w:sz="8" w:space="6" w:color="B08D57"/>
        </w:pBdr>
        <w:spacing w:after="50" w:before="100" w:line="240" w:lineRule="auto"/>
      </w:pPr>
      <w:r>
        <w:rPr>
          <w:rFonts w:ascii="Arial" w:hAnsi="Arial" w:eastAsia="Arial" w:cs="Arial"/>
          <w:b/>
          <w:color w:val="1E3A5F"/>
          <w:sz w:val="24"/>
        </w:rPr>
        <w:t>Das AMAVIO-Leistungsmodell</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KERNVERSPRECHEN  </w:t>
      </w:r>
      <w:r>
        <w:rPr>
          <w:rFonts w:ascii="Arial" w:hAnsi="Arial" w:eastAsia="Arial"/>
          <w:color w:val="243447"/>
          <w:sz w:val="19"/>
        </w:rPr>
        <w:t>Ein Auftrag, ein verantworteter Projektplan und ein nachvollziehbarer Übergang von der Personalplanung bis zum stabilen Ankommen.</w:t>
      </w:r>
    </w:p>
    <w:p>
      <w:pPr>
        <w:pStyle w:val="Heading3"/>
        <w:keepNext/>
        <w:spacing w:after="30" w:before="70" w:line="240" w:lineRule="auto"/>
      </w:pPr>
      <w:r>
        <w:rPr>
          <w:rFonts w:ascii="Arial" w:hAnsi="Arial" w:eastAsia="Arial" w:cs="Arial"/>
          <w:b/>
          <w:color w:val="102A43"/>
          <w:sz w:val="20"/>
        </w:rPr>
        <w:t>Zwei Erlös- und Risikostufen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2600"/>
        <w:gridCol w:w="3050"/>
        <w:gridCol w:w="225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Modell</w:t>
            </w:r>
          </w:p>
        </w:tc>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Leistung und Erlös</w:t>
            </w:r>
          </w:p>
        </w:tc>
        <w:tc>
          <w:tcPr>
            <w:tcW w:type="dxa" w:w="3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Kapital- und Risikoprofil</w:t>
            </w:r>
          </w:p>
        </w:tc>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Projekt- und Servicemodell</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Konzept-, Projekt-, Setup- und Managementhonorare</w:t>
            </w:r>
          </w:p>
        </w:tc>
        <w:tc>
          <w:tcPr>
            <w:tcW w:type="dxa" w:w="3050"/>
            <w:tcMar>
              <w:top w:w="55" w:type="dxa"/>
              <w:start w:w="55" w:type="dxa"/>
              <w:bottom w:w="55" w:type="dxa"/>
              <w:end w:w="55" w:type="dxa"/>
            </w:tcMar>
          </w:tcPr>
          <w:p>
            <w:pPr>
              <w:spacing w:after="0" w:line="230" w:lineRule="auto" w:before="0"/>
            </w:pPr>
            <w:r>
              <w:rPr>
                <w:rFonts w:ascii="Arial" w:hAnsi="Arial" w:eastAsia="Arial"/>
                <w:color w:val="243447"/>
                <w:sz w:val="16"/>
              </w:rPr>
              <w:t>Geringe eigene Kapitalbindung; Verträge und Investitionen grundsätzlich beim Kunden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Markteintritt und Hauptumsatzquelle in Phase 1</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Selektives Betreiber-/Anmietmodell</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Wohn-, Betreiber-, Management- und Serviceerlöse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Kaution, Einrichtung, Fixkosten und Leerstandsrisiko</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Nur nach Nachfrage-, Rechts-, Finanz- und Exit-Gate</w:t>
            </w:r>
          </w:p>
        </w:tc>
      </w:tr>
    </w:tbl>
    <w:p>
      <w:pPr>
        <w:pStyle w:val="BodyText"/>
        <w:spacing w:after="44" w:before="0" w:line="245" w:lineRule="auto"/>
        <w:jc w:val="both"/>
      </w:pPr>
      <w:r>
        <w:rPr>
          <w:rFonts w:ascii="Arial" w:hAnsi="Arial" w:eastAsia="Arial"/>
          <w:i w:val="0"/>
          <w:color w:val="243447"/>
          <w:sz w:val="19"/>
        </w:rPr>
        <w:t>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pPr>
        <w:pStyle w:val="Heading3"/>
        <w:keepNext/>
        <w:spacing w:after="30" w:before="70" w:line="240" w:lineRule="auto"/>
      </w:pPr>
      <w:r>
        <w:rPr>
          <w:rFonts w:ascii="Arial" w:hAnsi="Arial" w:eastAsia="Arial" w:cs="Arial"/>
          <w:b/>
          <w:color w:val="102A43"/>
          <w:sz w:val="20"/>
        </w:rPr>
        <w:t>Leistungsumfang von Bedarf bis Stabilisierung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280"/>
        <w:gridCol w:w="3120"/>
        <w:gridCol w:w="3550"/>
        <w:gridCol w:w="1800"/>
      </w:tblGrid>
      <w:tr>
        <w:trPr>
          <w:tblHeader/>
        </w:trPr>
        <w:tc>
          <w:tcPr>
            <w:tcW w:type="dxa" w:w="128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31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AMAVIO-Leistung</w:t>
            </w:r>
          </w:p>
        </w:tc>
        <w:tc>
          <w:tcPr>
            <w:tcW w:type="dxa" w:w="3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Dokumentiertes Ergebnis</w:t>
            </w:r>
          </w:p>
        </w:tc>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Richtzeit</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1 · Bedarf</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Stakeholder, Standorte, Starttermine, Zielgruppen, Budget</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Bedarfsmatrix, Zielbild, RACI, Ausgangs-KPIs</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1–2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2 · Konzept</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Wohnformen, Suchradius, Übergang, Kostenkorridor</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Wohnraumstrategie, Varianten- und Risikovergleich</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2–3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3 · Beschaffung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Marktansprache, Longlist, Besichtigungen, Partner</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Shortlist, Objektsteckbriefe, Entscheidungsmatrix</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4 · Prüfung</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Kaufmännische und nutzungsbezogene Vorprüfung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 Risikoregister, externe Prüfaufträge</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1–3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5 · Realisierung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Verträge koordinieren, Handwerker, Möbel, Anschlüsse</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Realisierungsplan, Inventar, Mängel- und Übergabeakte</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r>
      <w:tr>
        <w:trPr>
          <w:cantSplit/>
        </w:trPr>
        <w:tc>
          <w:tcPr>
            <w:tcW w:type="dxa" w:w="1280"/>
            <w:shd w:fill="F8FAFC"/>
            <w:tcMar>
              <w:top w:w="55" w:type="dxa"/>
              <w:start w:w="55" w:type="dxa"/>
              <w:bottom w:w="55" w:type="dxa"/>
              <w:end w:w="55" w:type="dxa"/>
            </w:tcMar>
          </w:tcPr>
          <w:p>
            <w:pPr>
              <w:spacing w:after="0" w:line="230" w:lineRule="auto" w:before="0"/>
            </w:pPr>
            <w:r>
              <w:rPr>
                <w:rFonts w:ascii="Arial" w:hAnsi="Arial" w:eastAsia="Arial"/>
                <w:color w:val="243447"/>
                <w:sz w:val="16"/>
              </w:rPr>
              <w:t>6 · Einzug</w:t>
            </w:r>
          </w:p>
        </w:tc>
        <w:tc>
          <w:tcPr>
            <w:tcW w:type="dxa" w:w="3120"/>
            <w:shd w:fill="F8FAFC"/>
            <w:tcMar>
              <w:top w:w="55" w:type="dxa"/>
              <w:start w:w="55" w:type="dxa"/>
              <w:bottom w:w="55" w:type="dxa"/>
              <w:end w:w="55" w:type="dxa"/>
            </w:tcMar>
          </w:tcPr>
          <w:p>
            <w:pPr>
              <w:spacing w:after="0" w:line="230" w:lineRule="auto" w:before="0"/>
            </w:pPr>
            <w:r>
              <w:rPr>
                <w:rFonts w:ascii="Arial" w:hAnsi="Arial" w:eastAsia="Arial"/>
                <w:color w:val="243447"/>
                <w:sz w:val="16"/>
              </w:rPr>
              <w:t>Zuordnung, Vorabinformation, Schlüssel, Orientierung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Belegungsplan, Protokolle, Welcome-Unterlagen</w:t>
            </w:r>
          </w:p>
        </w:tc>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2–4 Wochen</w:t>
            </w:r>
          </w:p>
        </w:tc>
      </w:tr>
      <w:tr>
        <w:trPr>
          <w:cantSplit/>
        </w:trPr>
        <w:tc>
          <w:tcPr>
            <w:tcW w:type="dxa" w:w="1280"/>
            <w:tcMar>
              <w:top w:w="55" w:type="dxa"/>
              <w:start w:w="55" w:type="dxa"/>
              <w:bottom w:w="55" w:type="dxa"/>
              <w:end w:w="55" w:type="dxa"/>
            </w:tcMar>
          </w:tcPr>
          <w:p>
            <w:pPr>
              <w:spacing w:after="0" w:line="230" w:lineRule="auto" w:before="0"/>
            </w:pPr>
            <w:r>
              <w:rPr>
                <w:rFonts w:ascii="Arial" w:hAnsi="Arial" w:eastAsia="Arial"/>
                <w:color w:val="243447"/>
                <w:sz w:val="16"/>
              </w:rPr>
              <w:t>7 · Stabilisierung</w:t>
            </w:r>
          </w:p>
        </w:tc>
        <w:tc>
          <w:tcPr>
            <w:tcW w:type="dxa" w:w="3120"/>
            <w:tcMar>
              <w:top w:w="55" w:type="dxa"/>
              <w:start w:w="55" w:type="dxa"/>
              <w:bottom w:w="55" w:type="dxa"/>
              <w:end w:w="55" w:type="dxa"/>
            </w:tcMar>
          </w:tcPr>
          <w:p>
            <w:pPr>
              <w:spacing w:after="0" w:line="230" w:lineRule="auto" w:before="0"/>
            </w:pPr>
            <w:r>
              <w:rPr>
                <w:rFonts w:ascii="Arial" w:hAnsi="Arial" w:eastAsia="Arial"/>
                <w:color w:val="243447"/>
                <w:sz w:val="16"/>
              </w:rPr>
              <w:t>Sprechstunden, Mängel, Feedback, Reporting</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30-/60-/90-Tage-Report und Maßnahmenplan</w:t>
            </w:r>
          </w:p>
        </w:tc>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3–36 Monate</w:t>
            </w:r>
          </w:p>
        </w:tc>
      </w:tr>
    </w:tbl>
    <w:p>
      <w:pPr>
        <w:pStyle w:val="BodyText"/>
        <w:spacing w:after="44" w:before="0" w:line="245" w:lineRule="auto"/>
        <w:jc w:val="both"/>
      </w:pPr>
      <w:r>
        <w:rPr>
          <w:rFonts w:ascii="Arial" w:hAnsi="Arial" w:eastAsia="Arial"/>
          <w:i w:val="0"/>
          <w:color w:val="243447"/>
          <w:sz w:val="19"/>
        </w:rPr>
        <w:t>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pPr>
        <w:pStyle w:val="Heading2"/>
        <w:keepNext/>
        <w:pBdr>
          <w:bottom w:val="single" w:sz="8" w:space="6" w:color="B08D57"/>
        </w:pBdr>
        <w:spacing w:after="50" w:before="100" w:line="240" w:lineRule="auto"/>
      </w:pPr>
      <w:r>
        <w:rPr>
          <w:rFonts w:ascii="Arial" w:hAnsi="Arial" w:eastAsia="Arial" w:cs="Arial"/>
          <w:b/>
          <w:color w:val="1E3A5F"/>
          <w:sz w:val="24"/>
        </w:rPr>
        <w:t>Leistungsbeschreibung</w:t>
      </w:r>
    </w:p>
    <w:p>
      <w:pPr>
        <w:pStyle w:val="Heading3"/>
        <w:keepNext/>
        <w:spacing w:after="30" w:before="70" w:line="240" w:lineRule="auto"/>
      </w:pPr>
      <w:r>
        <w:rPr>
          <w:rFonts w:ascii="Arial" w:hAnsi="Arial" w:eastAsia="Arial" w:cs="Arial"/>
          <w:b/>
          <w:color w:val="102A43"/>
          <w:sz w:val="20"/>
        </w:rPr>
        <w:t>Bedarf, Wohnraumstrategie und Business Case</w:t>
      </w:r>
    </w:p>
    <w:p>
      <w:pPr>
        <w:pStyle w:val="BodyText"/>
        <w:spacing w:after="44" w:before="0" w:line="245" w:lineRule="auto"/>
        <w:jc w:val="both"/>
      </w:pPr>
      <w:r>
        <w:rPr>
          <w:rFonts w:ascii="Arial" w:hAnsi="Arial" w:eastAsia="Arial"/>
          <w:i w:val="0"/>
          <w:color w:val="243447"/>
          <w:sz w:val="19"/>
        </w:rPr>
        <w:t>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pPr>
        <w:pStyle w:val="Heading3"/>
        <w:keepNext/>
        <w:spacing w:after="30" w:before="70" w:line="240" w:lineRule="auto"/>
      </w:pPr>
      <w:r>
        <w:rPr>
          <w:rFonts w:ascii="Arial" w:hAnsi="Arial" w:eastAsia="Arial" w:cs="Arial"/>
          <w:b/>
          <w:color w:val="102A43"/>
          <w:sz w:val="20"/>
        </w:rPr>
        <w:t>Objekt- und Partnerbeschaffung</w:t>
      </w:r>
    </w:p>
    <w:p>
      <w:pPr>
        <w:pStyle w:val="BodyText"/>
        <w:spacing w:after="44" w:before="0" w:line="245" w:lineRule="auto"/>
        <w:jc w:val="both"/>
      </w:pPr>
      <w:r>
        <w:rPr>
          <w:rFonts w:ascii="Arial" w:hAnsi="Arial" w:eastAsia="Arial"/>
          <w:i w:val="0"/>
          <w:color w:val="243447"/>
          <w:sz w:val="19"/>
        </w:rPr>
        <w:t>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Nebenkosten, Kaution, Einrichtung, Laufzeit, Kündigung, erkennbare Nutzungsfragen und Betriebskosten. Technische Gutachten, Brandschutz, Bau- und Rechtsprüfung werden von qualifizierten Fachpartnern erbracht.</w:t>
      </w:r>
    </w:p>
    <w:p>
      <w:pPr>
        <w:pStyle w:val="Heading3"/>
        <w:keepNext/>
        <w:spacing w:after="30" w:before="70" w:line="240" w:lineRule="auto"/>
      </w:pPr>
      <w:r>
        <w:rPr>
          <w:rFonts w:ascii="Arial" w:hAnsi="Arial" w:eastAsia="Arial" w:cs="Arial"/>
          <w:b/>
          <w:color w:val="102A43"/>
          <w:sz w:val="20"/>
        </w:rPr>
        <w:t>Vertrags-, Handwerker- und Möblierungskoordination</w:t>
      </w:r>
    </w:p>
    <w:p>
      <w:pPr>
        <w:pStyle w:val="BodyText"/>
        <w:spacing w:after="44" w:before="0" w:line="245" w:lineRule="auto"/>
        <w:jc w:val="both"/>
      </w:pPr>
      <w:r>
        <w:rPr>
          <w:rFonts w:ascii="Arial" w:hAnsi="Arial" w:eastAsia="Arial"/>
          <w:i w:val="0"/>
          <w:color w:val="243447"/>
          <w:sz w:val="19"/>
        </w:rPr>
        <w:t>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pPr>
        <w:pStyle w:val="Heading3"/>
        <w:keepNext/>
        <w:spacing w:after="30" w:before="70" w:line="240" w:lineRule="auto"/>
      </w:pPr>
      <w:r>
        <w:rPr>
          <w:rFonts w:ascii="Arial" w:hAnsi="Arial" w:eastAsia="Arial" w:cs="Arial"/>
          <w:b/>
          <w:color w:val="102A43"/>
          <w:sz w:val="20"/>
        </w:rPr>
        <w:t>Einzug, Behördenorientierung und Integration</w:t>
      </w:r>
    </w:p>
    <w:p>
      <w:pPr>
        <w:pStyle w:val="BodyText"/>
        <w:spacing w:after="44" w:before="0" w:line="245" w:lineRule="auto"/>
        <w:jc w:val="both"/>
      </w:pPr>
      <w:r>
        <w:rPr>
          <w:rFonts w:ascii="Arial" w:hAnsi="Arial" w:eastAsia="Arial"/>
          <w:i w:val="0"/>
          <w:color w:val="243447"/>
          <w:sz w:val="19"/>
        </w:rPr>
        <w:t>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pPr>
        <w:pStyle w:val="BodyText"/>
        <w:spacing w:after="44" w:before="0" w:line="245" w:lineRule="auto"/>
        <w:jc w:val="both"/>
      </w:pPr>
      <w:r>
        <w:rPr>
          <w:rFonts w:ascii="Arial" w:hAnsi="Arial" w:eastAsia="Arial"/>
          <w:i w:val="0"/>
          <w:color w:val="243447"/>
          <w:sz w:val="19"/>
        </w:rPr>
        <w:t>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pPr>
        <w:pStyle w:val="Heading3"/>
        <w:keepNext/>
        <w:spacing w:after="30" w:before="70" w:line="240" w:lineRule="auto"/>
      </w:pPr>
      <w:r>
        <w:rPr>
          <w:rFonts w:ascii="Arial" w:hAnsi="Arial" w:eastAsia="Arial" w:cs="Arial"/>
          <w:b/>
          <w:color w:val="102A43"/>
          <w:sz w:val="20"/>
        </w:rPr>
        <w:t>Immer enthalten und optional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875"/>
        <w:gridCol w:w="4875"/>
      </w:tblGrid>
      <w:tr>
        <w:trPr>
          <w:tblHeader/>
        </w:trPr>
        <w:tc>
          <w:tcPr>
            <w:tcW w:type="dxa" w:w="4875"/>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Standard in jedem Mandat</w:t>
            </w:r>
          </w:p>
        </w:tc>
        <w:tc>
          <w:tcPr>
            <w:tcW w:type="dxa" w:w="4875"/>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Optionale Zusatzmodule</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Kick-off, Bedarfserhebung und Projektauftrag</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Erweiterte regionale oder bundesweite Objektsuche</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Terminplan, Verantwortungsmatrix und Risikoregister</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Technische/rechtliche Due Diligence durch Dritte</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Definierte Status- und Entscheidungstermine</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Umbau-, Handwerker- und Beschaffungssteuerung</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Budget-, Änderungs- und Freigabemanagement</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Mehrsprachige Vor-Ort- und Wochenendbegleitung</w:t>
            </w:r>
          </w:p>
        </w:tc>
      </w:tr>
      <w:tr>
        <w:trPr>
          <w:cantSplit/>
        </w:trPr>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Dokumenten-, Übergabe- und Abnahmeakte</w:t>
            </w:r>
          </w:p>
        </w:tc>
        <w:tc>
          <w:tcPr>
            <w:tcW w:type="dxa" w:w="4875"/>
            <w:tcMar>
              <w:top w:w="55" w:type="dxa"/>
              <w:start w:w="55" w:type="dxa"/>
              <w:bottom w:w="55" w:type="dxa"/>
              <w:end w:w="55" w:type="dxa"/>
            </w:tcMar>
          </w:tcPr>
          <w:p>
            <w:pPr>
              <w:spacing w:after="0" w:line="230" w:lineRule="auto" w:before="0"/>
            </w:pPr>
            <w:r>
              <w:rPr>
                <w:rFonts w:ascii="Arial" w:hAnsi="Arial" w:eastAsia="Arial"/>
                <w:color w:val="243447"/>
                <w:sz w:val="16"/>
              </w:rPr>
              <w:t>Laufendes Housing-, Community- und KPI-Management</w:t>
            </w:r>
          </w:p>
        </w:tc>
      </w:tr>
      <w:tr>
        <w:trPr>
          <w:cantSplit/>
        </w:trPr>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Projektabschlussbericht</w:t>
            </w:r>
          </w:p>
        </w:tc>
        <w:tc>
          <w:tcPr>
            <w:tcW w:type="dxa" w:w="4875"/>
            <w:shd w:fill="F8FAFC"/>
            <w:tcMar>
              <w:top w:w="55" w:type="dxa"/>
              <w:start w:w="55" w:type="dxa"/>
              <w:bottom w:w="55" w:type="dxa"/>
              <w:end w:w="55" w:type="dxa"/>
            </w:tcMar>
          </w:tcPr>
          <w:p>
            <w:pPr>
              <w:spacing w:after="0" w:line="230" w:lineRule="auto" w:before="0"/>
            </w:pPr>
            <w:r>
              <w:rPr>
                <w:rFonts w:ascii="Arial" w:hAnsi="Arial" w:eastAsia="Arial"/>
                <w:color w:val="243447"/>
                <w:sz w:val="16"/>
              </w:rPr>
              <w:t>Kinderbetreuungs-, Betreiber- oder Zwischenmietmodul</w:t>
            </w:r>
          </w:p>
        </w:tc>
      </w:tr>
    </w:tbl>
    <w:p>
      <w:pPr>
        <w:pStyle w:val="BodyText"/>
        <w:spacing w:after="44" w:before="0" w:line="245" w:lineRule="auto"/>
        <w:jc w:val="both"/>
      </w:pPr>
      <w:r>
        <w:rPr>
          <w:rFonts w:ascii="Arial" w:hAnsi="Arial" w:eastAsia="Arial"/>
          <w:i w:val="0"/>
          <w:color w:val="243447"/>
          <w:sz w:val="19"/>
        </w:rPr>
        <w:t>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pPr>
        <w:pStyle w:val="Heading2"/>
        <w:keepNext/>
        <w:pBdr>
          <w:bottom w:val="single" w:sz="8" w:space="6" w:color="B08D57"/>
        </w:pBdr>
        <w:spacing w:after="50" w:before="100" w:line="240" w:lineRule="auto"/>
      </w:pPr>
      <w:r>
        <w:rPr>
          <w:rFonts w:ascii="Arial" w:hAnsi="Arial" w:eastAsia="Arial" w:cs="Arial"/>
          <w:b/>
          <w:color w:val="1E3A5F"/>
          <w:sz w:val="24"/>
        </w:rPr>
        <w:t>Drei Leistungspakete und Vergütung</w:t>
      </w:r>
    </w:p>
    <w:p>
      <w:pPr>
        <w:pStyle w:val="BodyText"/>
        <w:keepNext/>
        <w:spacing w:after="44" w:before="0" w:line="245" w:lineRule="auto"/>
        <w:jc w:val="both"/>
      </w:pPr>
      <w:r>
        <w:rPr>
          <w:rFonts w:ascii="Arial" w:hAnsi="Arial" w:eastAsia="Arial"/>
          <w:i w:val="0"/>
          <w:color w:val="243447"/>
          <w:sz w:val="19"/>
        </w:rPr>
        <w:t>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700"/>
        <w:gridCol w:w="2450"/>
        <w:gridCol w:w="3600"/>
        <w:gridCol w:w="2000"/>
      </w:tblGrid>
      <w:tr>
        <w:trPr>
          <w:tblHeader/>
        </w:trPr>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Ergebnis</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Umfang</w:t>
            </w:r>
          </w:p>
        </w:tc>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Vergütung</w:t>
            </w:r>
          </w:p>
        </w:tc>
      </w:tr>
      <w:tr>
        <w:trPr>
          <w:cantSplit/>
        </w:trPr>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 · AMAVIO Blueprint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Entscheidungsreife Wohnraum- und Arrival-Strategie</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4–6 Wochen; Bedarf, Varianten, Grobbudget, Risiken, Roadmap, Managementpräsentation</w:t>
            </w:r>
          </w:p>
        </w:tc>
        <w:tc>
          <w:tcPr>
            <w:tcW w:type="dxa" w:w="2000"/>
            <w:tcMar>
              <w:top w:w="55" w:type="dxa"/>
              <w:start w:w="55" w:type="dxa"/>
              <w:bottom w:w="55" w:type="dxa"/>
              <w:end w:w="55" w:type="dxa"/>
            </w:tcMar>
          </w:tcPr>
          <w:p>
            <w:pPr>
              <w:spacing w:after="0" w:before="0" w:line="230" w:lineRule="auto"/>
            </w:pPr>
            <w:r>
              <w:rPr>
                <w:sz w:val="16"/>
              </w:rPr>
              <w:t>Pilot ab 12.500 EUR; Standard 21.000–22.500 EUR netto</w:t>
            </w:r>
          </w:p>
        </w:tc>
      </w:tr>
      <w:tr>
        <w:trPr>
          <w:cantSplit/>
        </w:trPr>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2 · AMAVIO Launch</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Wohnlösung für eine konkrete Rekrutierungswelle</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8–16 Wochen bei Bestand; Suche, Koordination, Einrichtung, Einzug, 4 Wochen Stabilisierung</w:t>
            </w:r>
          </w:p>
        </w:tc>
        <w:tc>
          <w:tcPr>
            <w:tcW w:type="dxa" w:w="2000"/>
            <w:shd w:fill="F8FAFC"/>
            <w:tcMar>
              <w:top w:w="55" w:type="dxa"/>
              <w:start w:w="55" w:type="dxa"/>
              <w:bottom w:w="55" w:type="dxa"/>
              <w:end w:w="55" w:type="dxa"/>
            </w:tcMar>
          </w:tcPr>
          <w:p>
            <w:pPr>
              <w:spacing w:after="0" w:before="0" w:line="230" w:lineRule="auto"/>
            </w:pPr>
            <w:r>
              <w:rPr>
                <w:sz w:val="16"/>
              </w:rPr>
              <w:t>Pilot ab 28.000 EUR (&lt; 300 Std.); Standard 33.750–65.000 EUR netto zzgl. Fremdkosten</w:t>
            </w:r>
          </w:p>
        </w:tc>
      </w:tr>
      <w:tr>
        <w:trPr>
          <w:cantSplit/>
        </w:trPr>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3 · Housing &amp; Arrival Office</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Dauerhafte externe Housing- und Ankunftsfunktion</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Setup, laufende Bedarfe, Einzüge, Sprechstunde, Eskalation, Community, KPI-Reporting</w:t>
            </w:r>
          </w:p>
        </w:tc>
        <w:tc>
          <w:tcPr>
            <w:tcW w:type="dxa" w:w="2000"/>
            <w:tcMar>
              <w:top w:w="55" w:type="dxa"/>
              <w:start w:w="55" w:type="dxa"/>
              <w:bottom w:w="55" w:type="dxa"/>
              <w:end w:w="55" w:type="dxa"/>
            </w:tcMar>
          </w:tcPr>
          <w:p>
            <w:pPr>
              <w:spacing w:after="0" w:before="0" w:line="230" w:lineRule="auto"/>
            </w:pPr>
            <w:r>
              <w:rPr>
                <w:sz w:val="16"/>
              </w:rPr>
              <w:t>Reduziertes Setup ab 15.000 EUR; Standard 20.250–33.750 EUR + 4.500–12.000 EUR/Monat</w:t>
            </w:r>
          </w:p>
        </w:tc>
      </w:tr>
    </w:tbl>
    <w:p>
      <w:pPr>
        <w:pStyle w:val="Heading3"/>
        <w:keepNext/>
        <w:spacing w:after="30" w:before="70" w:line="240" w:lineRule="auto"/>
      </w:pPr>
      <w:r>
        <w:rPr>
          <w:rFonts w:ascii="Arial" w:hAnsi="Arial" w:eastAsia="Arial" w:cs="Arial"/>
          <w:b/>
          <w:color w:val="102A43"/>
          <w:sz w:val="20"/>
        </w:rPr>
        <w:t>Kalkulationslogik und persönlicher Zeiteinsatz</w:t>
      </w:r>
    </w:p>
    <w:p>
      <w:pPr>
        <w:pStyle w:val="BodyText"/>
        <w:spacing w:after="44" w:before="0" w:line="245" w:lineRule="auto"/>
        <w:jc w:val="both"/>
      </w:pPr>
      <w:r>
        <w:rPr>
          <w:rFonts w:ascii="Arial" w:hAnsi="Arial" w:eastAsia="Arial"/>
          <w:i w:val="0"/>
          <w:color w:val="243447"/>
          <w:sz w:val="19"/>
        </w:rPr>
        <w:t>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2450"/>
        <w:gridCol w:w="3000"/>
        <w:gridCol w:w="25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Gründerzeit</w:t>
            </w:r>
          </w:p>
        </w:tc>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Externe/variable Arbeit</w:t>
            </w:r>
          </w:p>
        </w:tc>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Preislogik</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450"/>
            <w:tcMar>
              <w:top w:w="55" w:type="dxa"/>
              <w:start w:w="55" w:type="dxa"/>
              <w:bottom w:w="55" w:type="dxa"/>
              <w:end w:w="55" w:type="dxa"/>
            </w:tcMar>
          </w:tcPr>
          <w:p>
            <w:pPr>
              <w:spacing w:after="0" w:before="0" w:line="230" w:lineRule="auto"/>
            </w:pPr>
            <w:r>
              <w:rPr>
                <w:sz w:val="16"/>
              </w:rPr>
              <w:t>Pilot bis ca. 100 Std.; Standard 120–190 Std.</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Recherche, Daten, ggf. Fachinterviews</w:t>
            </w:r>
          </w:p>
        </w:tc>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Festpreis nach Standorten und Varianten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450"/>
            <w:shd w:fill="F8FAFC"/>
            <w:tcMar>
              <w:top w:w="55" w:type="dxa"/>
              <w:start w:w="55" w:type="dxa"/>
              <w:bottom w:w="55" w:type="dxa"/>
              <w:end w:w="55" w:type="dxa"/>
            </w:tcMar>
          </w:tcPr>
          <w:p>
            <w:pPr>
              <w:spacing w:after="0" w:before="0" w:line="230" w:lineRule="auto"/>
            </w:pPr>
            <w:r>
              <w:rPr>
                <w:sz w:val="16"/>
              </w:rPr>
              <w:t>Pilot unter 300 Std.; Standard 300–600 Std.</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Technik, Recht, Handwerk, Lieferanten</w:t>
            </w:r>
          </w:p>
        </w:tc>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Festpreis + transparente Fremdkosten; ggf. Meilensteine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2450"/>
            <w:tcMar>
              <w:top w:w="55" w:type="dxa"/>
              <w:start w:w="55" w:type="dxa"/>
              <w:bottom w:w="55" w:type="dxa"/>
              <w:end w:w="55" w:type="dxa"/>
            </w:tcMar>
          </w:tcPr>
          <w:p>
            <w:pPr>
              <w:spacing w:after="0" w:before="0" w:line="230" w:lineRule="auto"/>
            </w:pPr>
            <w:r>
              <w:rPr>
                <w:sz w:val="16"/>
              </w:rPr>
              <w:t>Reduziertes Setup bis ca. 130 Std.; Standard 180–300 Std.; danach laufend</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Vor-Ort-, Sprach- und Spezialpartner</w:t>
            </w:r>
          </w:p>
        </w:tc>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Setup + Grundgebühr + definierte variable Einzüge</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ZAHLUNGS- UND ABNAHMEMODELL  </w:t>
      </w:r>
      <w:r>
        <w:rPr>
          <w:rFonts w:ascii="Arial" w:hAnsi="Arial" w:eastAsia="Arial"/>
          <w:color w:val="243447"/>
          <w:sz w:val="19"/>
        </w:rPr>
        <w:t>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pPr>
        <w:pStyle w:val="Heading2"/>
        <w:keepNext/>
        <w:pBdr>
          <w:bottom w:val="single" w:sz="8" w:space="6" w:color="B08D57"/>
        </w:pBdr>
        <w:spacing w:after="50" w:before="100" w:line="240" w:lineRule="auto"/>
      </w:pPr>
      <w:r>
        <w:rPr>
          <w:rFonts w:ascii="Arial" w:hAnsi="Arial" w:eastAsia="Arial" w:cs="Arial"/>
          <w:b/>
          <w:color w:val="1E3A5F"/>
          <w:sz w:val="24"/>
        </w:rPr>
        <w:t>Wirtschaftlicher Nutzen für Arbeitgeber</w:t>
      </w:r>
    </w:p>
    <w:p>
      <w:pPr>
        <w:pStyle w:val="BodyText"/>
        <w:spacing w:after="44" w:before="0" w:line="245" w:lineRule="auto"/>
        <w:jc w:val="both"/>
      </w:pPr>
      <w:r>
        <w:rPr>
          <w:rFonts w:ascii="Arial" w:hAnsi="Arial" w:eastAsia="Arial"/>
          <w:i w:val="0"/>
          <w:color w:val="243447"/>
          <w:sz w:val="19"/>
        </w:rPr>
        <w:t>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pPr>
        <w:pStyle w:val="Heading3"/>
        <w:keepNext/>
        <w:spacing w:after="30" w:before="70" w:line="240" w:lineRule="auto"/>
      </w:pPr>
      <w:r>
        <w:rPr>
          <w:rFonts w:ascii="Arial" w:hAnsi="Arial" w:eastAsia="Arial" w:cs="Arial"/>
          <w:b/>
          <w:color w:val="102A43"/>
          <w:sz w:val="20"/>
        </w:rPr>
        <w:t>Arbeitgeberbezogenes Kostenmodell</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200"/>
        <w:gridCol w:w="34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Kostenblock</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Berechnung</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Datenquelle beim Kunden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Interne Koordination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Stunden von HR, Recruiting, Führung, Verwaltung × Vollkostensatz</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Zeiterhebung/Interviews</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Verzögerter Arbeitsstart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Tage zwischen Soll- und Ist-Start × intern definierter Ausfallwert</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Personal- und Dienstplandaten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Externe Rekrutierung</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Vermittlung, Sprache, Anerkennung, Reise, Visa, Dokumente</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Rechnungen und Verträge</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Wohnen und Einrichtung</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Suche, Übergangshotel, Kaution, Möbel, Transporte, Leerstand</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 und Kreditorendaten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Früher Austritt/No-show</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tatsächlich versunkene Kosten + Wiederbesetzungsaufwand</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HR-Falldaten</w:t>
            </w:r>
          </w:p>
        </w:tc>
      </w:tr>
    </w:tbl>
    <w:p>
      <w:pPr>
        <w:pStyle w:val="BodyText"/>
        <w:spacing w:after="44" w:before="0" w:line="245" w:lineRule="auto"/>
        <w:jc w:val="both"/>
      </w:pPr>
      <w:r>
        <w:rPr>
          <w:rFonts w:ascii="Arial" w:hAnsi="Arial" w:eastAsia="Arial"/>
          <w:i w:val="0"/>
          <w:color w:val="243447"/>
          <w:sz w:val="19"/>
        </w:rPr>
        <w:t>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100"/>
        <w:gridCol w:w="3600"/>
      </w:tblGrid>
      <w:tr>
        <w:trPr>
          <w:tblHeader/>
        </w:trPr>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Definition</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Steuerungsnutzen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Time-to-Housing</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Tage von freigegebenem Bedarf bis verfügbarer Wohnlösung</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Geschwindigkeit und Supply-Leistung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On-time Move-in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Anteil Einzüge am geplanten Termin</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Planbarkeit des Arbeitsstarts</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HR Coordination Hours</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Interne Kundenstunden je Ankunft</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Entlastung und Prozessreife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Issue Resolution Time</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Zeit bis dokumentierte Lösung eines Housing-Falls</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Servicequalität</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30/90-Day Satisfaction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standardisierte Bewohnerbewertung</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Früherkennung und Lernschleife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6/12-Month Retention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Beschäftigtenverbleib; gemeinsam mit Arbeitgeber bewertet</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Langfristiger Outcome, keine AMAVIO-Garantie</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 Sicherheit und Verantwortungsgrenzen</w:t>
      </w:r>
    </w:p>
    <w:p>
      <w:pPr>
        <w:pStyle w:val="Heading3"/>
        <w:keepNext/>
        <w:spacing w:after="30" w:before="70" w:line="240" w:lineRule="auto"/>
      </w:pPr>
      <w:r>
        <w:rPr>
          <w:rFonts w:ascii="Arial" w:hAnsi="Arial" w:eastAsia="Arial" w:cs="Arial"/>
          <w:b/>
          <w:color w:val="102A43"/>
          <w:sz w:val="20"/>
        </w:rPr>
        <w:t>Projekt- und Kundensicherheit</w:t>
      </w:r>
    </w:p>
    <w:p>
      <w:pPr>
        <w:pStyle w:val="ListBullet"/>
        <w:spacing w:after="44" w:before="0" w:line="245" w:lineRule="auto"/>
      </w:pPr>
      <w:r>
        <w:rPr>
          <w:rFonts w:ascii="Arial" w:hAnsi="Arial" w:eastAsia="Arial"/>
          <w:color w:val="243447"/>
          <w:sz w:val="19"/>
        </w:rPr>
        <w:t>Schriftlicher Leistungsauftrag mit Annahmen, Ausschlüssen, Ansprechpartnern und Abnahmekriterien.</w:t>
      </w:r>
    </w:p>
    <w:p>
      <w:pPr>
        <w:pStyle w:val="ListBullet"/>
        <w:spacing w:after="44" w:before="0" w:line="245" w:lineRule="auto"/>
      </w:pPr>
      <w:r>
        <w:rPr>
          <w:rFonts w:ascii="Arial" w:hAnsi="Arial" w:eastAsia="Arial"/>
          <w:color w:val="243447"/>
          <w:sz w:val="19"/>
        </w:rPr>
        <w:t>Freigabematrix für Budgets, Vergaben, Nachträge und Bewohnerkommunikation.</w:t>
      </w:r>
    </w:p>
    <w:p>
      <w:pPr>
        <w:pStyle w:val="ListBullet"/>
        <w:spacing w:after="44" w:before="0" w:line="245" w:lineRule="auto"/>
      </w:pPr>
      <w:r>
        <w:rPr>
          <w:rFonts w:ascii="Arial" w:hAnsi="Arial" w:eastAsia="Arial"/>
          <w:color w:val="243447"/>
          <w:sz w:val="19"/>
        </w:rPr>
        <w:t>Mehrere Angebote ab vereinbarter Schwelle; Vier-Augen-Prinzip bei wesentlichen Vergaben.</w:t>
      </w:r>
    </w:p>
    <w:p>
      <w:pPr>
        <w:pStyle w:val="ListBullet"/>
        <w:spacing w:after="44" w:before="0" w:line="245" w:lineRule="auto"/>
      </w:pPr>
      <w:r>
        <w:rPr>
          <w:rFonts w:ascii="Arial" w:hAnsi="Arial" w:eastAsia="Arial"/>
          <w:color w:val="243447"/>
          <w:sz w:val="19"/>
        </w:rPr>
        <w:t>Objekt-, Foto-, Inventar-, Übergabe- und Mängeldokumentation.</w:t>
      </w:r>
    </w:p>
    <w:p>
      <w:pPr>
        <w:pStyle w:val="ListBullet"/>
        <w:spacing w:after="44" w:before="0" w:line="245" w:lineRule="auto"/>
      </w:pPr>
      <w:r>
        <w:rPr>
          <w:rFonts w:ascii="Arial" w:hAnsi="Arial" w:eastAsia="Arial"/>
          <w:color w:val="243447"/>
          <w:sz w:val="19"/>
        </w:rPr>
        <w:t>Wöchentlicher Status- und Risikobericht mit Entscheidungen, Verantwortlichen und Fristen.</w:t>
      </w:r>
    </w:p>
    <w:p>
      <w:pPr>
        <w:pStyle w:val="ListBullet"/>
        <w:spacing w:after="44" w:before="0" w:line="245" w:lineRule="auto"/>
      </w:pPr>
      <w:r>
        <w:rPr>
          <w:rFonts w:ascii="Arial" w:hAnsi="Arial" w:eastAsia="Arial"/>
          <w:color w:val="243447"/>
          <w:sz w:val="19"/>
        </w:rPr>
        <w:t>Berufshaftpflicht sowie objektspezifische Versicherungsprüfung.</w:t>
      </w:r>
    </w:p>
    <w:p>
      <w:pPr>
        <w:pStyle w:val="ListBullet"/>
        <w:spacing w:after="44" w:before="0" w:line="245" w:lineRule="auto"/>
      </w:pPr>
      <w:r>
        <w:rPr>
          <w:rFonts w:ascii="Arial" w:hAnsi="Arial" w:eastAsia="Arial"/>
          <w:color w:val="243447"/>
          <w:sz w:val="19"/>
        </w:rPr>
        <w:t>Beschwerde-, Eskalations- und Notfallweg; 24/7-Leistungen nur über qualifizierte Partner.</w:t>
      </w:r>
    </w:p>
    <w:p>
      <w:pPr>
        <w:pStyle w:val="Heading3"/>
        <w:keepNext/>
        <w:spacing w:after="30" w:before="70" w:line="240" w:lineRule="auto"/>
      </w:pPr>
      <w:r>
        <w:rPr>
          <w:rFonts w:ascii="Arial" w:hAnsi="Arial" w:eastAsia="Arial" w:cs="Arial"/>
          <w:b/>
          <w:color w:val="102A43"/>
          <w:sz w:val="20"/>
        </w:rPr>
        <w:t>Datenschutz, Vertraulichkeit und Bewohnerfragebogen</w:t>
      </w:r>
    </w:p>
    <w:p>
      <w:pPr>
        <w:pStyle w:val="BodyText"/>
        <w:spacing w:after="44" w:before="0" w:line="245" w:lineRule="auto"/>
        <w:jc w:val="both"/>
      </w:pPr>
      <w:r>
        <w:rPr>
          <w:rFonts w:ascii="Arial" w:hAnsi="Arial" w:eastAsia="Arial"/>
          <w:i w:val="0"/>
          <w:color w:val="243447"/>
          <w:sz w:val="19"/>
        </w:rPr>
        <w:t>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pPr>
        <w:pStyle w:val="BodyText"/>
        <w:spacing w:after="44" w:before="0" w:line="245" w:lineRule="auto"/>
        <w:jc w:val="both"/>
      </w:pPr>
      <w:r>
        <w:rPr>
          <w:rFonts w:ascii="Arial" w:hAnsi="Arial" w:eastAsia="Arial"/>
          <w:i w:val="0"/>
          <w:color w:val="243447"/>
          <w:sz w:val="19"/>
        </w:rPr>
        <w:t>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pPr>
        <w:pStyle w:val="Heading3"/>
        <w:keepNext/>
        <w:spacing w:after="30" w:before="70" w:line="240" w:lineRule="auto"/>
      </w:pPr>
      <w:r>
        <w:rPr>
          <w:rFonts w:ascii="Arial" w:hAnsi="Arial" w:eastAsia="Arial" w:cs="Arial"/>
          <w:b/>
          <w:color w:val="102A43"/>
          <w:sz w:val="20"/>
        </w:rPr>
        <w:t>Leistungsgrenzen</w:t>
      </w:r>
    </w:p>
    <w:p>
      <w:pPr>
        <w:pStyle w:val="BodyText"/>
        <w:spacing w:after="44" w:before="0" w:line="245" w:lineRule="auto"/>
        <w:jc w:val="both"/>
      </w:pPr>
      <w:r>
        <w:rPr>
          <w:rFonts w:ascii="Arial" w:hAnsi="Arial" w:eastAsia="Arial"/>
          <w:i w:val="0"/>
          <w:color w:val="243447"/>
          <w:sz w:val="19"/>
        </w:rPr>
        <w:t>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pPr>
        <w:pStyle w:val="Heading1"/>
        <w:keepNext/>
        <w:spacing w:before="140" w:after="80" w:line="240" w:lineRule="auto"/>
        <w:pBdr>
          <w:bottom w:val="single" w:sz="8" w:space="6" w:color="B08D57"/>
        </w:pBdr>
      </w:pPr>
      <w:r>
        <w:rPr>
          <w:rFonts w:ascii="Arial" w:hAnsi="Arial" w:eastAsia="Arial" w:cs="Arial"/>
          <w:b/>
          <w:color w:val="102A43"/>
          <w:sz w:val="32"/>
        </w:rPr>
        <w:t>2. Unternehmerprofil</w:t>
      </w:r>
    </w:p>
    <w:p>
      <w:pPr>
        <w:pStyle w:val="Heading2"/>
        <w:keepNext/>
        <w:pBdr>
          <w:bottom w:val="single" w:sz="8" w:space="6" w:color="B08D57"/>
        </w:pBdr>
        <w:spacing w:after="50" w:before="100" w:line="240" w:lineRule="auto"/>
      </w:pPr>
      <w:r>
        <w:rPr>
          <w:rFonts w:ascii="Arial" w:hAnsi="Arial" w:eastAsia="Arial" w:cs="Arial"/>
          <w:b/>
          <w:color w:val="1E3A5F"/>
          <w:sz w:val="24"/>
        </w:rPr>
        <w:t>Gründerprofil und Umsetzungsfähigkeit</w:t>
      </w:r>
    </w:p>
    <w:p>
      <w:pPr>
        <w:pStyle w:val="Heading3"/>
        <w:keepNext/>
        <w:spacing w:after="30" w:before="70" w:line="240" w:lineRule="auto"/>
      </w:pPr>
      <w:r>
        <w:rPr>
          <w:rFonts w:ascii="Arial" w:hAnsi="Arial" w:eastAsia="Arial" w:cs="Arial"/>
          <w:b/>
          <w:color w:val="102A43"/>
          <w:sz w:val="20"/>
        </w:rPr>
        <w:t>Persönliches Profil und Founder–Market Fit</w:t>
      </w:r>
    </w:p>
    <w:p>
      <w:pPr>
        <w:pStyle w:val="BodyText"/>
        <w:spacing w:after="44" w:before="0" w:line="245" w:lineRule="auto"/>
        <w:jc w:val="both"/>
      </w:pPr>
      <w:r>
        <w:rPr>
          <w:rFonts w:ascii="Arial" w:hAnsi="Arial" w:eastAsia="Arial"/>
          <w:i w:val="0"/>
          <w:color w:val="243447"/>
          <w:sz w:val="19"/>
        </w:rPr>
        <w:t>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pPr>
        <w:pStyle w:val="BodyText"/>
        <w:spacing w:after="44" w:before="0" w:line="245" w:lineRule="auto"/>
        <w:jc w:val="both"/>
      </w:pPr>
      <w:r>
        <w:rPr>
          <w:rFonts w:ascii="Arial" w:hAnsi="Arial" w:eastAsia="Arial"/>
          <w:i w:val="0"/>
          <w:color w:val="243447"/>
          <w:sz w:val="19"/>
        </w:rPr>
        <w:t>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pPr>
        <w:pStyle w:val="Heading3"/>
        <w:keepNext/>
        <w:spacing w:after="30" w:before="70" w:line="240" w:lineRule="auto"/>
      </w:pPr>
      <w:r>
        <w:rPr>
          <w:rFonts w:ascii="Arial" w:hAnsi="Arial" w:eastAsia="Arial" w:cs="Arial"/>
          <w:b/>
          <w:color w:val="102A43"/>
          <w:sz w:val="20"/>
        </w:rPr>
        <w:t>Fachlicher Werdegang</w:t>
      </w:r>
    </w:p>
    <w:p>
      <w:pPr>
        <w:pStyle w:val="BodyText"/>
        <w:spacing w:after="44" w:before="0" w:line="245" w:lineRule="auto"/>
        <w:jc w:val="both"/>
      </w:pPr>
      <w:r>
        <w:rPr>
          <w:rFonts w:ascii="Arial" w:hAnsi="Arial" w:eastAsia="Arial"/>
          <w:i w:val="0"/>
          <w:color w:val="243447"/>
          <w:sz w:val="19"/>
        </w:rPr>
        <w:t>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pPr>
        <w:pStyle w:val="BodyText"/>
        <w:spacing w:after="44" w:before="0" w:line="245" w:lineRule="auto"/>
        <w:jc w:val="both"/>
      </w:pPr>
      <w:r>
        <w:rPr>
          <w:rFonts w:ascii="Arial" w:hAnsi="Arial" w:eastAsia="Arial"/>
          <w:i w:val="0"/>
          <w:color w:val="243447"/>
          <w:sz w:val="19"/>
        </w:rPr>
        <w:t>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pPr>
        <w:pStyle w:val="BodyText"/>
        <w:spacing w:after="44" w:before="0" w:line="245" w:lineRule="auto"/>
        <w:jc w:val="both"/>
      </w:pPr>
      <w:r>
        <w:rPr>
          <w:rFonts w:ascii="Arial" w:hAnsi="Arial" w:eastAsia="Arial"/>
          <w:i w:val="0"/>
          <w:color w:val="243447"/>
          <w:sz w:val="19"/>
        </w:rPr>
        <w:t>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pPr>
        <w:pStyle w:val="BodyText"/>
        <w:spacing w:after="44" w:before="0" w:line="245" w:lineRule="auto"/>
        <w:jc w:val="both"/>
      </w:pPr>
      <w:r>
        <w:rPr>
          <w:rFonts w:ascii="Arial" w:hAnsi="Arial" w:eastAsia="Arial"/>
          <w:i w:val="0"/>
          <w:color w:val="243447"/>
          <w:sz w:val="19"/>
        </w:rPr>
        <w:t>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pPr>
        <w:pStyle w:val="Heading3"/>
        <w:keepNext/>
        <w:spacing w:after="30" w:before="70" w:line="240" w:lineRule="auto"/>
      </w:pPr>
      <w:r>
        <w:rPr>
          <w:rFonts w:ascii="Arial" w:hAnsi="Arial" w:eastAsia="Arial" w:cs="Arial"/>
          <w:b/>
          <w:color w:val="102A43"/>
          <w:sz w:val="20"/>
        </w:rPr>
        <w:t>Organisatorische und operative Kompetenz</w:t>
      </w:r>
    </w:p>
    <w:p>
      <w:pPr>
        <w:pStyle w:val="BodyText"/>
        <w:spacing w:after="44" w:before="0" w:line="245" w:lineRule="auto"/>
        <w:jc w:val="both"/>
      </w:pPr>
      <w:r>
        <w:rPr>
          <w:rFonts w:ascii="Arial" w:hAnsi="Arial" w:eastAsia="Arial"/>
          <w:i w:val="0"/>
          <w:color w:val="243447"/>
          <w:sz w:val="19"/>
        </w:rPr>
        <w:t>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pPr>
        <w:pStyle w:val="BodyText"/>
        <w:spacing w:after="44" w:before="0" w:line="245" w:lineRule="auto"/>
        <w:jc w:val="both"/>
      </w:pPr>
      <w:r>
        <w:rPr>
          <w:rFonts w:ascii="Arial" w:hAnsi="Arial" w:eastAsia="Arial"/>
          <w:i w:val="0"/>
          <w:color w:val="243447"/>
          <w:sz w:val="19"/>
        </w:rPr>
        <w:t>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pPr>
        <w:pStyle w:val="Heading2"/>
        <w:keepNext/>
        <w:pBdr>
          <w:bottom w:val="single" w:sz="8" w:space="6" w:color="B08D57"/>
        </w:pBdr>
        <w:spacing w:after="50" w:before="100" w:line="240" w:lineRule="auto"/>
      </w:pPr>
      <w:r>
        <w:rPr>
          <w:rFonts w:ascii="Arial" w:hAnsi="Arial" w:eastAsia="Arial" w:cs="Arial"/>
          <w:b/>
          <w:color w:val="1E3A5F"/>
          <w:sz w:val="24"/>
        </w:rPr>
        <w:t>Unternehmerische, digitale und persönliche Kompetenz</w:t>
      </w:r>
    </w:p>
    <w:p>
      <w:pPr>
        <w:pStyle w:val="Heading3"/>
        <w:keepNext/>
        <w:spacing w:after="30" w:before="70" w:line="240" w:lineRule="auto"/>
      </w:pPr>
      <w:r>
        <w:rPr>
          <w:rFonts w:ascii="Arial" w:hAnsi="Arial" w:eastAsia="Arial" w:cs="Arial"/>
          <w:b/>
          <w:color w:val="102A43"/>
          <w:sz w:val="20"/>
        </w:rPr>
        <w:t>Kaufmännische und unternehmerische Kompetenz</w:t>
      </w:r>
    </w:p>
    <w:p>
      <w:pPr>
        <w:pStyle w:val="BodyText"/>
        <w:spacing w:after="44" w:before="0" w:line="245" w:lineRule="auto"/>
        <w:jc w:val="both"/>
      </w:pPr>
      <w:r>
        <w:rPr>
          <w:rFonts w:ascii="Arial" w:hAnsi="Arial" w:eastAsia="Arial"/>
          <w:i w:val="0"/>
          <w:color w:val="243447"/>
          <w:sz w:val="19"/>
        </w:rPr>
        <w:t>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pPr>
        <w:pStyle w:val="BodyText"/>
        <w:spacing w:after="44" w:before="0" w:line="245" w:lineRule="auto"/>
        <w:jc w:val="both"/>
      </w:pPr>
      <w:r>
        <w:rPr>
          <w:rFonts w:ascii="Arial" w:hAnsi="Arial" w:eastAsia="Arial"/>
          <w:i w:val="0"/>
          <w:color w:val="243447"/>
          <w:sz w:val="19"/>
        </w:rPr>
        <w:t>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pPr>
        <w:pStyle w:val="Heading3"/>
        <w:keepNext/>
        <w:spacing w:after="30" w:before="70" w:line="240" w:lineRule="auto"/>
      </w:pPr>
      <w:r>
        <w:rPr>
          <w:rFonts w:ascii="Arial" w:hAnsi="Arial" w:eastAsia="Arial" w:cs="Arial"/>
          <w:b/>
          <w:color w:val="102A43"/>
          <w:sz w:val="20"/>
        </w:rPr>
        <w:t>Digitale Kompetenz und Prozessentwicklung</w:t>
      </w:r>
    </w:p>
    <w:p>
      <w:pPr>
        <w:pStyle w:val="BodyText"/>
        <w:spacing w:after="44" w:before="0" w:line="245" w:lineRule="auto"/>
        <w:jc w:val="both"/>
      </w:pPr>
      <w:r>
        <w:rPr>
          <w:rFonts w:ascii="Arial" w:hAnsi="Arial" w:eastAsia="Arial"/>
          <w:i w:val="0"/>
          <w:color w:val="243447"/>
          <w:sz w:val="19"/>
        </w:rPr>
        <w:t>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pPr>
        <w:pStyle w:val="BodyText"/>
        <w:spacing w:after="44" w:before="0" w:line="245" w:lineRule="auto"/>
        <w:jc w:val="both"/>
      </w:pPr>
      <w:r>
        <w:rPr>
          <w:rFonts w:ascii="Arial" w:hAnsi="Arial" w:eastAsia="Arial"/>
          <w:i w:val="0"/>
          <w:color w:val="243447"/>
          <w:sz w:val="19"/>
        </w:rPr>
        <w:t>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pPr>
        <w:pStyle w:val="Heading3"/>
        <w:keepNext/>
        <w:spacing w:after="30" w:before="70" w:line="240" w:lineRule="auto"/>
      </w:pPr>
      <w:r>
        <w:rPr>
          <w:rFonts w:ascii="Arial" w:hAnsi="Arial" w:eastAsia="Arial" w:cs="Arial"/>
          <w:b/>
          <w:color w:val="102A43"/>
          <w:sz w:val="20"/>
        </w:rPr>
        <w:t>Persönliche Motivation</w:t>
      </w:r>
    </w:p>
    <w:p>
      <w:pPr>
        <w:pStyle w:val="BodyText"/>
        <w:spacing w:after="44" w:before="0" w:line="245" w:lineRule="auto"/>
        <w:jc w:val="both"/>
      </w:pPr>
      <w:r>
        <w:rPr>
          <w:rFonts w:ascii="Arial" w:hAnsi="Arial" w:eastAsia="Arial"/>
          <w:i w:val="0"/>
          <w:color w:val="243447"/>
          <w:sz w:val="19"/>
        </w:rPr>
        <w:t>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pPr>
        <w:pStyle w:val="BodyText"/>
        <w:spacing w:after="44" w:before="0" w:line="245" w:lineRule="auto"/>
        <w:jc w:val="both"/>
      </w:pPr>
      <w:r>
        <w:rPr>
          <w:rFonts w:ascii="Arial" w:hAnsi="Arial" w:eastAsia="Arial"/>
          <w:i w:val="0"/>
          <w:color w:val="243447"/>
          <w:sz w:val="19"/>
        </w:rPr>
        <w:t>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PERSÖNLICHER ANTRIEB  </w:t>
      </w:r>
      <w:r>
        <w:rPr>
          <w:rFonts w:ascii="Arial" w:hAnsi="Arial" w:eastAsia="Arial"/>
          <w:color w:val="243447"/>
          <w:sz w:val="19"/>
        </w:rPr>
        <w:t>AMAVIO soll Menschen keinen kurzfristigen Schlafplatz, sondern einen verlässlichen Start ermöglichen – und Arbeitgebern die Infrastruktur geben, aus internationaler Rekrutierung stabile Beschäftigung werden zu lassen.</w:t>
      </w:r>
    </w:p>
    <w:p>
      <w:pPr>
        <w:pStyle w:val="Heading3"/>
        <w:keepNext/>
        <w:spacing w:after="30" w:before="70" w:line="240" w:lineRule="auto"/>
      </w:pPr>
      <w:r>
        <w:rPr>
          <w:rFonts w:ascii="Arial" w:hAnsi="Arial" w:eastAsia="Arial" w:cs="Arial"/>
          <w:b/>
          <w:color w:val="102A43"/>
          <w:sz w:val="20"/>
        </w:rPr>
        <w:t>Kompetenzabsicherung</w:t>
      </w:r>
    </w:p>
    <w:p>
      <w:pPr>
        <w:pStyle w:val="BodyText"/>
        <w:spacing w:after="44" w:before="0" w:line="245" w:lineRule="auto"/>
        <w:jc w:val="both"/>
      </w:pPr>
      <w:r>
        <w:rPr>
          <w:rFonts w:ascii="Arial" w:hAnsi="Arial" w:eastAsia="Arial"/>
          <w:i w:val="0"/>
          <w:color w:val="243447"/>
          <w:sz w:val="19"/>
        </w:rPr>
        <w:t>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pPr>
        <w:pStyle w:val="Heading3"/>
        <w:keepNext/>
        <w:spacing w:after="30" w:before="70" w:line="240" w:lineRule="auto"/>
      </w:pPr>
      <w:r>
        <w:rPr>
          <w:rFonts w:ascii="Arial" w:hAnsi="Arial" w:eastAsia="Arial" w:cs="Arial"/>
          <w:b/>
          <w:color w:val="102A43"/>
          <w:sz w:val="20"/>
        </w:rPr>
        <w:t>Zusammenfassende Eignung</w:t>
      </w:r>
    </w:p>
    <w:p>
      <w:pPr>
        <w:pStyle w:val="BodyText"/>
        <w:spacing w:after="44" w:before="0" w:line="245" w:lineRule="auto"/>
        <w:jc w:val="both"/>
      </w:pPr>
      <w:r>
        <w:rPr>
          <w:rFonts w:ascii="Arial" w:hAnsi="Arial" w:eastAsia="Arial"/>
          <w:i w:val="0"/>
          <w:color w:val="243447"/>
          <w:sz w:val="19"/>
        </w:rPr>
        <w:t>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pPr>
        <w:pStyle w:val="Heading1"/>
        <w:keepNext/>
        <w:spacing w:before="140" w:after="80" w:line="240" w:lineRule="auto"/>
        <w:pBdr>
          <w:bottom w:val="single" w:sz="8" w:space="6" w:color="B08D57"/>
        </w:pBdr>
      </w:pPr>
      <w:r>
        <w:rPr>
          <w:rFonts w:ascii="Arial" w:hAnsi="Arial" w:eastAsia="Arial" w:cs="Arial"/>
          <w:b/>
          <w:color w:val="102A43"/>
          <w:sz w:val="32"/>
        </w:rPr>
        <w:t>3. Zielkunden- und Bedarfsanalyse</w:t>
      </w:r>
    </w:p>
    <w:p>
      <w:pPr>
        <w:pStyle w:val="Heading2"/>
        <w:keepNext/>
        <w:pBdr>
          <w:bottom w:val="single" w:sz="8" w:space="6" w:color="B08D57"/>
        </w:pBdr>
        <w:spacing w:after="50" w:before="100" w:line="240" w:lineRule="auto"/>
      </w:pPr>
      <w:r>
        <w:rPr>
          <w:rFonts w:ascii="Arial" w:hAnsi="Arial" w:eastAsia="Arial" w:cs="Arial"/>
          <w:b/>
          <w:color w:val="1E3A5F"/>
          <w:sz w:val="24"/>
        </w:rPr>
        <w:t>Zielkundenlogik und Fokus</w:t>
      </w:r>
    </w:p>
    <w:p>
      <w:pPr>
        <w:pStyle w:val="BodyText"/>
        <w:spacing w:after="44" w:before="0" w:line="245" w:lineRule="auto"/>
        <w:jc w:val="both"/>
      </w:pPr>
      <w:r>
        <w:rPr>
          <w:rFonts w:ascii="Arial" w:hAnsi="Arial" w:eastAsia="Arial"/>
          <w:i w:val="0"/>
          <w:color w:val="243447"/>
          <w:sz w:val="19"/>
        </w:rPr>
        <w:t>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pPr>
        <w:pStyle w:val="BodyText"/>
        <w:spacing w:after="44" w:before="0" w:line="245" w:lineRule="auto"/>
        <w:jc w:val="both"/>
      </w:pPr>
      <w:r>
        <w:rPr>
          <w:rFonts w:ascii="Arial" w:hAnsi="Arial" w:eastAsia="Arial"/>
          <w:i w:val="0"/>
          <w:color w:val="243447"/>
          <w:sz w:val="19"/>
        </w:rPr>
        <w:t>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IDEAL CUSTOMER PROFILE  </w:t>
      </w:r>
      <w:r>
        <w:rPr>
          <w:rFonts w:ascii="Arial" w:hAnsi="Arial" w:eastAsia="Arial"/>
          <w:color w:val="243447"/>
          <w:sz w:val="19"/>
        </w:rPr>
        <w:t>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pPr>
        <w:pStyle w:val="Heading3"/>
        <w:keepNext/>
        <w:spacing w:after="30" w:before="70" w:line="240" w:lineRule="auto"/>
      </w:pPr>
      <w:r>
        <w:rPr>
          <w:rFonts w:ascii="Arial" w:hAnsi="Arial" w:eastAsia="Arial" w:cs="Arial"/>
          <w:b/>
          <w:color w:val="102A43"/>
          <w:sz w:val="20"/>
        </w:rPr>
        <w:t>Priorisierung der Kundensegmente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450"/>
        <w:gridCol w:w="340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Segment</w:t>
            </w:r>
          </w:p>
        </w:tc>
        <w:tc>
          <w:tcPr>
            <w:tcW w:type="dxa" w:w="4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Typischer Bedarf</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Eignung zum Start</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Krankenhäuser und Klinikverbünde</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Planbare Ankunftsgruppen, Anerkennungsphasen, Schichtnähe, möblierter Übergangswohnraum und koordinierte Integration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Sehr hoch: hoher Problemdruck, wiederkehrender Bedarf und klare Arbeitgeberverantwortung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Stationäre Pflegeanbieter und größere Träger</w:t>
            </w:r>
          </w:p>
        </w:tc>
        <w:tc>
          <w:tcPr>
            <w:tcW w:type="dxa" w:w="4450"/>
            <w:shd w:fill="F8FAFC"/>
            <w:tcMar>
              <w:top w:w="55" w:type="dxa"/>
              <w:start w:w="55" w:type="dxa"/>
              <w:bottom w:w="55" w:type="dxa"/>
              <w:end w:w="55" w:type="dxa"/>
            </w:tcMar>
          </w:tcPr>
          <w:p>
            <w:pPr>
              <w:spacing w:after="0" w:line="230" w:lineRule="auto" w:before="0"/>
            </w:pPr>
            <w:r>
              <w:rPr>
                <w:rFonts w:ascii="Arial" w:hAnsi="Arial" w:eastAsia="Arial"/>
                <w:color w:val="243447"/>
                <w:sz w:val="16"/>
              </w:rPr>
              <w:t>Verteilte Standorte, kleinere Gruppen, Wohnraum im Umfeld einzelner Einrichtungen und standardisierte Ankunftsprozesse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Hoch: großer Bedarf, jedoch häufig kleinere Budgets und heterogene Entscheidungswege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Internationale Recruitingpartner</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Lokale Umsetzung nach Auswahl und Einreise: Wohnraum, Möblierung, Einzug, Behördenorientierung und Reporting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Hoch als Kanal: schneller Zugang zu Projekten, aber klare Abgrenzung zur Vermittlungsleistung erforderlich</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Industrie, Logistik, Handwerk und weitere Engpassbranchen</w:t>
            </w:r>
          </w:p>
        </w:tc>
        <w:tc>
          <w:tcPr>
            <w:tcW w:type="dxa" w:w="4450"/>
            <w:shd w:fill="F8FAFC"/>
            <w:tcMar>
              <w:top w:w="55" w:type="dxa"/>
              <w:start w:w="55" w:type="dxa"/>
              <w:bottom w:w="55" w:type="dxa"/>
              <w:end w:w="55" w:type="dxa"/>
            </w:tcMar>
          </w:tcPr>
          <w:p>
            <w:pPr>
              <w:spacing w:after="0" w:line="230" w:lineRule="auto" w:before="0"/>
            </w:pPr>
            <w:r>
              <w:rPr>
                <w:rFonts w:ascii="Arial" w:hAnsi="Arial" w:eastAsia="Arial"/>
                <w:color w:val="243447"/>
                <w:sz w:val="16"/>
              </w:rPr>
              <w:t>Mitarbeiterwohnen für überregionale Einstellungen, Auszubildende, Projektteams oder Produktionsanläufe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 attraktiver Expansionsmarkt nach Standardisierung der Kernprozesse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Hochschulen, Kommunen und Ausbildungsverbünde</w:t>
            </w:r>
          </w:p>
        </w:tc>
        <w:tc>
          <w:tcPr>
            <w:tcW w:type="dxa" w:w="4450"/>
            <w:tcMar>
              <w:top w:w="55" w:type="dxa"/>
              <w:start w:w="55" w:type="dxa"/>
              <w:bottom w:w="55" w:type="dxa"/>
              <w:end w:w="55" w:type="dxa"/>
            </w:tcMar>
          </w:tcPr>
          <w:p>
            <w:pPr>
              <w:spacing w:after="0" w:line="230" w:lineRule="auto" w:before="0"/>
            </w:pPr>
            <w:r>
              <w:rPr>
                <w:rFonts w:ascii="Arial" w:hAnsi="Arial" w:eastAsia="Arial"/>
                <w:color w:val="243447"/>
                <w:sz w:val="16"/>
              </w:rPr>
              <w:t>Wohnplätze, Standortprojekte und Partnerkoordination für Studierende oder Auszubildende</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Später: strategisch passend, aber meist längere Vergabe- und Entscheidungsprozesse</w:t>
            </w:r>
          </w:p>
        </w:tc>
      </w:tr>
    </w:tbl>
    <w:p>
      <w:pPr>
        <w:pStyle w:val="BodyText"/>
        <w:spacing w:after="44" w:before="0" w:line="245" w:lineRule="auto"/>
        <w:jc w:val="both"/>
      </w:pPr>
      <w:r>
        <w:rPr>
          <w:rFonts w:ascii="Arial" w:hAnsi="Arial" w:eastAsia="Arial"/>
          <w:i w:val="0"/>
          <w:color w:val="243447"/>
          <w:sz w:val="19"/>
        </w:rPr>
        <w:t>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pPr>
        <w:pStyle w:val="Heading2"/>
        <w:keepNext/>
        <w:pBdr>
          <w:bottom w:val="single" w:sz="8" w:space="6" w:color="B08D57"/>
        </w:pBdr>
        <w:spacing w:after="50" w:before="100" w:line="240" w:lineRule="auto"/>
      </w:pPr>
      <w:r>
        <w:rPr>
          <w:rFonts w:ascii="Arial" w:hAnsi="Arial" w:eastAsia="Arial" w:cs="Arial"/>
          <w:b/>
          <w:color w:val="1E3A5F"/>
          <w:sz w:val="24"/>
        </w:rPr>
        <w:t>Bedarfsauslöser und Zahlungsbereitschaft</w:t>
      </w:r>
    </w:p>
    <w:p>
      <w:pPr>
        <w:pStyle w:val="BodyText"/>
        <w:spacing w:after="44" w:before="0" w:line="245" w:lineRule="auto"/>
        <w:jc w:val="both"/>
      </w:pPr>
      <w:r>
        <w:rPr>
          <w:rFonts w:ascii="Arial" w:hAnsi="Arial" w:eastAsia="Arial"/>
          <w:i w:val="0"/>
          <w:color w:val="243447"/>
          <w:sz w:val="19"/>
        </w:rPr>
        <w:t>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pPr>
        <w:pStyle w:val="BodyText"/>
        <w:spacing w:after="44" w:before="0" w:line="245" w:lineRule="auto"/>
        <w:jc w:val="both"/>
      </w:pPr>
      <w:r>
        <w:rPr>
          <w:rFonts w:ascii="Arial" w:hAnsi="Arial" w:eastAsia="Arial"/>
          <w:i w:val="0"/>
          <w:color w:val="243447"/>
          <w:sz w:val="19"/>
        </w:rPr>
        <w:t>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pPr>
        <w:pStyle w:val="Heading3"/>
        <w:keepNext/>
        <w:spacing w:after="30" w:before="70" w:line="240" w:lineRule="auto"/>
      </w:pPr>
      <w:r>
        <w:rPr>
          <w:rFonts w:ascii="Arial" w:hAnsi="Arial" w:eastAsia="Arial" w:cs="Arial"/>
          <w:b/>
          <w:color w:val="102A43"/>
          <w:sz w:val="20"/>
        </w:rPr>
        <w:t>Typische Auslöser eines Mandats</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Konkrete Rekrutierungswelle  </w:t>
      </w:r>
      <w:r>
        <w:rPr>
          <w:rFonts w:ascii="Arial" w:hAnsi="Arial" w:eastAsia="Arial"/>
          <w:color w:val="243447"/>
          <w:sz w:val="19"/>
        </w:rPr>
        <w:t>Ein Arbeitgeber erwartet eine definierte Gruppe oder mehrere Ankünfte mit verbindlichen Startdaten.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Fehlende Wohnkapazität  </w:t>
      </w:r>
      <w:r>
        <w:rPr>
          <w:rFonts w:ascii="Arial" w:hAnsi="Arial" w:eastAsia="Arial"/>
          <w:color w:val="243447"/>
          <w:sz w:val="19"/>
        </w:rPr>
        <w:t>Eigene Wohnheime, Bestandswohnungen oder kurzfristige Übergangslösungen reichen nicht aus.</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Überlastete interne Zuständigkeiten  </w:t>
      </w:r>
      <w:r>
        <w:rPr>
          <w:rFonts w:ascii="Arial" w:hAnsi="Arial" w:eastAsia="Arial"/>
          <w:color w:val="243447"/>
          <w:sz w:val="19"/>
        </w:rPr>
        <w:t>HR, Recruiting, Pflegeleitung, Einkauf und Facility Management bearbeiten Einzelfragen ohne gemeinsame Projektsteuerung.</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Qualitäts- oder Bindungsprobleme  </w:t>
      </w:r>
      <w:r>
        <w:rPr>
          <w:rFonts w:ascii="Arial" w:hAnsi="Arial" w:eastAsia="Arial"/>
          <w:color w:val="243447"/>
          <w:sz w:val="19"/>
        </w:rPr>
        <w:t>Zusagen werden uneinheitlich umgesetzt, Beschäftigte erhalten unterschiedliche Unterstützung oder Rückfragen eskalieren in die Personalabteilung.</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Neuer Standort oder neuer Recruitingpartner  </w:t>
      </w:r>
      <w:r>
        <w:rPr>
          <w:rFonts w:ascii="Arial" w:hAnsi="Arial" w:eastAsia="Arial"/>
          <w:color w:val="243447"/>
          <w:sz w:val="19"/>
        </w:rPr>
        <w:t>Ein standardisierter Wohn- und Ankunftsprozess muss erstmals aufgebaut oder regional umgesetzt werden.</w:t>
      </w:r>
    </w:p>
    <w:p>
      <w:pPr>
        <w:pStyle w:val="Heading3"/>
        <w:keepNext/>
        <w:spacing w:after="30" w:before="70" w:line="240" w:lineRule="auto"/>
      </w:pPr>
      <w:r>
        <w:rPr>
          <w:rFonts w:ascii="Arial" w:hAnsi="Arial" w:eastAsia="Arial" w:cs="Arial"/>
          <w:b/>
          <w:color w:val="102A43"/>
          <w:sz w:val="20"/>
        </w:rPr>
        <w:t>Konsequenzen der Nichtbeauftragung</w:t>
      </w:r>
    </w:p>
    <w:p>
      <w:pPr>
        <w:pStyle w:val="BodyText"/>
        <w:spacing w:after="44" w:before="0" w:line="245" w:lineRule="auto"/>
        <w:jc w:val="both"/>
      </w:pPr>
      <w:r>
        <w:rPr>
          <w:rFonts w:ascii="Arial" w:hAnsi="Arial" w:eastAsia="Arial"/>
          <w:i w:val="0"/>
          <w:color w:val="243447"/>
          <w:sz w:val="19"/>
        </w:rPr>
        <w:t>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pPr>
        <w:pStyle w:val="Heading2"/>
        <w:keepNext/>
        <w:pBdr>
          <w:bottom w:val="single" w:sz="8" w:space="6" w:color="B08D57"/>
        </w:pBdr>
        <w:spacing w:after="50" w:before="100" w:line="240" w:lineRule="auto"/>
      </w:pPr>
      <w:r>
        <w:rPr>
          <w:rFonts w:ascii="Arial" w:hAnsi="Arial" w:eastAsia="Arial" w:cs="Arial"/>
          <w:b/>
          <w:color w:val="1E3A5F"/>
          <w:sz w:val="24"/>
        </w:rPr>
        <w:t>Buying Center und Entscheidungsprozess</w:t>
      </w:r>
    </w:p>
    <w:p>
      <w:pPr>
        <w:pStyle w:val="BodyText"/>
        <w:spacing w:after="44" w:before="0" w:line="245" w:lineRule="auto"/>
        <w:jc w:val="both"/>
      </w:pPr>
      <w:r>
        <w:rPr>
          <w:rFonts w:ascii="Arial" w:hAnsi="Arial" w:eastAsia="Arial"/>
          <w:i w:val="0"/>
          <w:color w:val="243447"/>
          <w:sz w:val="19"/>
        </w:rPr>
        <w:t>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100"/>
        <w:gridCol w:w="37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Rolle</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Interesse und Prüffrage</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AMAVIO-Nachweis</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Geschäftsführung / Klinikleitung</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Ist das Vorhaben strategisch notwendig, wirtschaftlich vertretbar und reputationssicher?</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Business Case, Risikogrenzen, Meilensteine und Ergebnisreporting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HR / Recruiting</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Starten die angeworbenen Personen planbar und sinkt die operative Einzelfallarbeit?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Ankunftsplan, Statusübersicht, Eskalationsweg und feste Ansprechperson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Pflegedirektion / Fachbereich</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Sind Beschäftigte zum Einsatzbeginn orientiert und wird die Station entlastet?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Übergabeprozess, Erwartungsmanagement und definierte Schnittstelle zur fachlichen Einarbeitung</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Einkauf / Finanzen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Sind Leistung, Preis, Zusatzkosten und Haftungsgrenzen eindeutig?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Leistungsbeschreibung, Paketlogik, Angebotskalkulation und Abnahme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Immobilien / Facility</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Sind Objekt, Nutzung, Möblierung, Übergabe und Dienstleister sauber koordiniert?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Objektprüfung im Leistungsumfang, Aufgabenmatrix und Dokumentation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Datenschutz / Recht</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Welche Daten werden verarbeitet und wer trägt welche Verantwortung?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Datenminimierung, Rollenklärung, Vertraulichkeit und geprüfte Vertragsmuster</w:t>
            </w:r>
          </w:p>
        </w:tc>
      </w:tr>
    </w:tbl>
    <w:p>
      <w:pPr>
        <w:pStyle w:val="Heading3"/>
        <w:keepNext/>
        <w:spacing w:after="30" w:before="70" w:line="240" w:lineRule="auto"/>
      </w:pPr>
      <w:r>
        <w:rPr>
          <w:rFonts w:ascii="Arial" w:hAnsi="Arial" w:eastAsia="Arial" w:cs="Arial"/>
          <w:b/>
          <w:color w:val="102A43"/>
          <w:sz w:val="20"/>
        </w:rPr>
        <w:t>Typischer Beschaffungsweg</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Qualifizierung  </w:t>
      </w:r>
      <w:r>
        <w:rPr>
          <w:rFonts w:ascii="Arial" w:hAnsi="Arial" w:eastAsia="Arial"/>
          <w:color w:val="243447"/>
          <w:sz w:val="19"/>
        </w:rPr>
        <w:t>Ankunftsvolumen, Standorte, Zieltermine, vorhandener Wohnraum, interne Ressourcen und Budgetweg werden in einem Erstgespräch geprüft.</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Bedarfsworkshop  </w:t>
      </w:r>
      <w:r>
        <w:rPr>
          <w:rFonts w:ascii="Arial" w:hAnsi="Arial" w:eastAsia="Arial"/>
          <w:color w:val="243447"/>
          <w:sz w:val="19"/>
        </w:rPr>
        <w:t>AMAVIO erstellt eine belastbare Ausgangslage, Varianten, Verantwortlichkeiten und eine erste Zeit- und Kostenlogik.</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Angebot und Freigabe  </w:t>
      </w:r>
      <w:r>
        <w:rPr>
          <w:rFonts w:ascii="Arial" w:hAnsi="Arial" w:eastAsia="Arial"/>
          <w:color w:val="243447"/>
          <w:sz w:val="19"/>
        </w:rPr>
        <w:t>Leistungsumfang, Ausschlüsse, Meilensteine, Vergütung, Fremdkosten und Entscheidungsrechte werden verbindlich beschrieben.</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Pilotmandat  </w:t>
      </w:r>
      <w:r>
        <w:rPr>
          <w:rFonts w:ascii="Arial" w:hAnsi="Arial" w:eastAsia="Arial"/>
          <w:color w:val="243447"/>
          <w:sz w:val="19"/>
        </w:rPr>
        <w:t>Ein klar abgegrenzter Standort oder eine Ankunftsgruppe dient als erster Leistungsnachweis.</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Rollout oder Managementvertrag  </w:t>
      </w:r>
      <w:r>
        <w:rPr>
          <w:rFonts w:ascii="Arial" w:hAnsi="Arial" w:eastAsia="Arial"/>
          <w:color w:val="243447"/>
          <w:sz w:val="19"/>
        </w:rPr>
        <w:t>Nach Abnahme des Piloten werden weitere Standorte, Gruppen oder laufende Leistungen standardisiert beauftragt.</w:t>
      </w:r>
    </w:p>
    <w:p>
      <w:pPr>
        <w:pStyle w:val="Heading3"/>
        <w:keepNext/>
        <w:spacing w:after="30" w:before="70" w:line="240" w:lineRule="auto"/>
      </w:pPr>
      <w:r>
        <w:rPr>
          <w:rFonts w:ascii="Arial" w:hAnsi="Arial" w:eastAsia="Arial" w:cs="Arial"/>
          <w:b/>
          <w:color w:val="102A43"/>
          <w:sz w:val="20"/>
        </w:rPr>
        <w:t>Go-/No-Go-Kriterien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3350"/>
        <w:gridCol w:w="3200"/>
      </w:tblGrid>
      <w:tr>
        <w:trPr>
          <w:tblHeader/>
        </w:trPr>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Go</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Klärungsbedarf</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No-Go</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Verbindliche Ankünfte, benannter Entscheider, realistischer Termin, geklärter Budgetpfad</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Unklares Volumen, fehlende Daten, mehrere Standorte ohne Priorisierung oder noch offene interne Freigabe</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Kein Auftraggeber, keine zulässige Nutzung, unrealistische Garantien oder nicht finanzierbare Fremdkosten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Zugang zu HR, Einkauf und operativen Ansprechpartnern</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Unklare Rollen zwischen Arbeitgeber, Recruiter, Vermieter und AMAVIO</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AMAVIO soll Rechts-, Visa-, Anerkennungs- oder Pflegeleistungen ohne befugte Partner übernehmen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4. Markt- und Wettbewerbsanalyse</w:t>
      </w:r>
    </w:p>
    <w:p>
      <w:pPr>
        <w:pStyle w:val="Heading2"/>
        <w:keepNext/>
        <w:pBdr>
          <w:bottom w:val="single" w:sz="8" w:space="6" w:color="B08D57"/>
        </w:pBdr>
        <w:spacing w:after="50" w:before="100" w:line="240" w:lineRule="auto"/>
      </w:pPr>
      <w:r>
        <w:rPr>
          <w:rFonts w:ascii="Arial" w:hAnsi="Arial" w:eastAsia="Arial" w:cs="Arial"/>
          <w:b/>
          <w:color w:val="1E3A5F"/>
          <w:sz w:val="24"/>
        </w:rPr>
        <w:t>Marktstruktur und Nachfragebelege</w:t>
      </w:r>
    </w:p>
    <w:p>
      <w:pPr>
        <w:pStyle w:val="BodyText"/>
        <w:spacing w:after="44" w:before="0" w:line="245" w:lineRule="auto"/>
        <w:jc w:val="both"/>
      </w:pPr>
      <w:r>
        <w:rPr>
          <w:rFonts w:ascii="Arial" w:hAnsi="Arial" w:eastAsia="Arial"/>
          <w:i w:val="0"/>
          <w:color w:val="243447"/>
          <w:sz w:val="19"/>
        </w:rPr>
        <w:t>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200"/>
        <w:gridCol w:w="36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Marktsignal</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Aktueller Beleg</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Bedeutung für AMAVIO</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Struktureller Pflegebedarf</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Destatis erwartet bis 2049 eine rechnerische Lücke von mindestens 280.000 bis 690.000 Pflegekräften. [Q2]</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Internationale und überregionale Personalgewinnung bleibt langfristig relevant.</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Akuter Engpass</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Die Arbeitslosenquote von Pflegefachkräften lag 2025 bei nur 1,1 %; rund 31.000 Pflege-Stellenangebote waren im Jahresdurchschnitt gemeldet. [Q22]</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Arbeitgeber konkurrieren nicht nur über Vergütung, sondern über einen funktionierenden Arbeits- und Lebensstart.</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Wachsende Internationalität</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Der Anteil ausländischer Beschäftigter in Pflegeberufen stieg von 10 % im Jahr 2018 auf 18 % im Jahr 2024. [Q23]</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Wohnraum, Behördenorientierung und soziale Integration werden zu wiederkehrenden Arbeitgeberaufgaben.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Angespannter Wohnungsmarkt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Das BBSR beziffert den bundesweiten Neubaubedarf 2023 bis 2030 auf knapp 320.000 Wohnungen jährlich; 70 % entfallen auf Geschosswohnungen. [Q1]</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Gerade kleine, bezahlbare und arbeitsplatznahe Einheiten stehen in Konkurrenz zu breiter Haushaltsnachfrage.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Großer NRW-Kernmarkt</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NRW zählte 2024 insgesamt 316 Krankenhäuser; dort arbeiteten 130.667 Personen im Pflegedienst. [Q24][Q25]</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Eine hohe Dichte potenzieller Kunden ist aus Düsseldorf ohne bundesweiten Fixkostenaufbau erreichbar.</w:t>
            </w:r>
          </w:p>
        </w:tc>
      </w:tr>
    </w:tbl>
    <w:p>
      <w:pPr>
        <w:pStyle w:val="BodyText"/>
        <w:spacing w:after="44" w:before="0" w:line="245" w:lineRule="auto"/>
        <w:jc w:val="both"/>
      </w:pPr>
      <w:r>
        <w:rPr>
          <w:rFonts w:ascii="Arial" w:hAnsi="Arial" w:eastAsia="Arial"/>
          <w:i w:val="0"/>
          <w:color w:val="243447"/>
          <w:sz w:val="19"/>
        </w:rPr>
        <w:t>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pPr>
        <w:pStyle w:val="Heading2"/>
        <w:keepNext/>
        <w:pBdr>
          <w:bottom w:val="single" w:sz="8" w:space="6" w:color="B08D57"/>
        </w:pBdr>
        <w:spacing w:after="50" w:before="100" w:line="240" w:lineRule="auto"/>
      </w:pPr>
      <w:r>
        <w:rPr>
          <w:rFonts w:ascii="Arial" w:hAnsi="Arial" w:eastAsia="Arial" w:cs="Arial"/>
          <w:b/>
          <w:color w:val="1E3A5F"/>
          <w:sz w:val="24"/>
        </w:rPr>
        <w:t>TAM, SAM und realistischer SOM</w:t>
      </w:r>
    </w:p>
    <w:p>
      <w:pPr>
        <w:pStyle w:val="BodyText"/>
        <w:spacing w:after="44" w:before="0" w:line="245" w:lineRule="auto"/>
        <w:jc w:val="both"/>
      </w:pPr>
      <w:r>
        <w:rPr>
          <w:rFonts w:ascii="Arial" w:hAnsi="Arial" w:eastAsia="Arial"/>
          <w:i w:val="0"/>
          <w:color w:val="243447"/>
          <w:sz w:val="19"/>
        </w:rPr>
        <w:t>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500"/>
        <w:gridCol w:w="33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Ebene</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Abgrenzung</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Planungsgröße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TAM – langfristiges Kundenuniversum</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Deutsche Krankenhäuser sowie größere stationäre und ambulante Pflegeanbieter; später weitere Arbeitgeber mit wiederkehrendem Workforce-Housing-Bedarf</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Allein 1.841 Krankenhäuser im Jahr 2024; Pflege- und weitere Arbeitgeber erweitern das Universum deutlich. [Q27]</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SAM – operativ erreichbarer Startmarkt</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Krankenhäuser, Klinikgruppen, stationäre Pflegeanbieter und größere Träger in NRW mit konkreter internationaler oder überregionaler Rekrutierung</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316 Krankenhäuser sowie 3.252 Pflegeheime und 3.205 ambulante Dienste als Standortbasis; Gruppenstrukturen und Eignung sind zu bereinigen. [Q24][Q28]</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SOM – Ziel der ersten 24 Monate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Qualifizierte Mandate im erreichbaren Netzwerk und in priorisierten NRW-Korridoren</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AMAVIO-Zielannahme: 8–12 bezahlte Projektmandate, daraus 2–4 wiederkehrende Management- oder Rolloutbeziehungen</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EINORDNUNG  </w:t>
      </w:r>
      <w:r>
        <w:rPr>
          <w:rFonts w:ascii="Arial" w:hAnsi="Arial" w:eastAsia="Arial"/>
          <w:color w:val="243447"/>
          <w:sz w:val="19"/>
        </w:rPr>
        <w:t>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pPr>
        <w:pStyle w:val="Heading3"/>
        <w:keepNext/>
        <w:spacing w:after="30" w:before="70" w:line="240" w:lineRule="auto"/>
      </w:pPr>
      <w:r>
        <w:rPr>
          <w:rFonts w:ascii="Arial" w:hAnsi="Arial" w:eastAsia="Arial" w:cs="Arial"/>
          <w:b/>
          <w:color w:val="102A43"/>
          <w:sz w:val="20"/>
        </w:rPr>
        <w:t>Regionale Markteintrittslogik</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950"/>
        <w:gridCol w:w="3200"/>
        <w:gridCol w:w="5600"/>
      </w:tblGrid>
      <w:tr>
        <w:trPr>
          <w:tblHeader/>
        </w:trPr>
        <w:tc>
          <w:tcPr>
            <w:tcW w:type="dxa" w:w="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Priorität</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Korridor</w:t>
            </w:r>
          </w:p>
        </w:tc>
        <w:tc>
          <w:tcPr>
            <w:tcW w:type="dxa" w:w="5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Begründung</w:t>
            </w:r>
          </w:p>
        </w:tc>
      </w:tr>
      <w:tr>
        <w:trPr>
          <w:cantSplit/>
        </w:trPr>
        <w:tc>
          <w:tcPr>
            <w:tcW w:type="dxa" w:w="950"/>
            <w:tcMar>
              <w:top w:w="55" w:type="dxa"/>
              <w:start w:w="55" w:type="dxa"/>
              <w:bottom w:w="55" w:type="dxa"/>
              <w:end w:w="55" w:type="dxa"/>
            </w:tcMar>
          </w:tcPr>
          <w:p>
            <w:pPr>
              <w:spacing w:after="0" w:line="230" w:lineRule="auto" w:before="0"/>
            </w:pPr>
            <w:r>
              <w:rPr>
                <w:rFonts w:ascii="Arial" w:hAnsi="Arial" w:eastAsia="Arial"/>
                <w:color w:val="243447"/>
                <w:sz w:val="16"/>
              </w:rPr>
              <w:t>A</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Düsseldorf · Köln · Bonn und jeweiliges Umland</w:t>
            </w:r>
          </w:p>
        </w:tc>
        <w:tc>
          <w:tcPr>
            <w:tcW w:type="dxa" w:w="5600"/>
            <w:tcMar>
              <w:top w:w="55" w:type="dxa"/>
              <w:start w:w="55" w:type="dxa"/>
              <w:bottom w:w="55" w:type="dxa"/>
              <w:end w:w="55" w:type="dxa"/>
            </w:tcMar>
          </w:tcPr>
          <w:p>
            <w:pPr>
              <w:spacing w:after="0" w:line="230" w:lineRule="auto" w:before="0"/>
            </w:pPr>
            <w:r>
              <w:rPr>
                <w:rFonts w:ascii="Arial" w:hAnsi="Arial" w:eastAsia="Arial"/>
                <w:color w:val="243447"/>
                <w:sz w:val="16"/>
              </w:rPr>
              <w:t>Hohe Arbeitgeberdichte und internationales Recruiting treffen auf besonders angespannte und teure Wohnungsmärkte.</w:t>
            </w:r>
          </w:p>
        </w:tc>
      </w:tr>
      <w:tr>
        <w:trPr>
          <w:cantSplit/>
        </w:trPr>
        <w:tc>
          <w:tcPr>
            <w:tcW w:type="dxa" w:w="950"/>
            <w:shd w:fill="F8FAFC"/>
            <w:tcMar>
              <w:top w:w="55" w:type="dxa"/>
              <w:start w:w="55" w:type="dxa"/>
              <w:bottom w:w="55" w:type="dxa"/>
              <w:end w:w="55" w:type="dxa"/>
            </w:tcMar>
          </w:tcPr>
          <w:p>
            <w:pPr>
              <w:spacing w:after="0" w:line="230" w:lineRule="auto" w:before="0"/>
            </w:pPr>
            <w:r>
              <w:rPr>
                <w:rFonts w:ascii="Arial" w:hAnsi="Arial" w:eastAsia="Arial"/>
                <w:color w:val="243447"/>
                <w:sz w:val="16"/>
              </w:rPr>
              <w:t>A</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Ruhrgebiet: Essen · Duisburg · Bochum · Dortmund</w:t>
            </w:r>
          </w:p>
        </w:tc>
        <w:tc>
          <w:tcPr>
            <w:tcW w:type="dxa" w:w="5600"/>
            <w:shd w:fill="F8FAFC"/>
            <w:tcMar>
              <w:top w:w="55" w:type="dxa"/>
              <w:start w:w="55" w:type="dxa"/>
              <w:bottom w:w="55" w:type="dxa"/>
              <w:end w:w="55" w:type="dxa"/>
            </w:tcMar>
          </w:tcPr>
          <w:p>
            <w:pPr>
              <w:spacing w:after="0" w:line="230" w:lineRule="auto" w:before="0"/>
            </w:pPr>
            <w:r>
              <w:rPr>
                <w:rFonts w:ascii="Arial" w:hAnsi="Arial" w:eastAsia="Arial"/>
                <w:color w:val="243447"/>
                <w:sz w:val="16"/>
              </w:rPr>
              <w:t>Großer Gesundheits- und Pflegemarkt, kurze Distanzen und heterogene Wohnungsteilmärkte ermöglichen unterschiedliche Objektstrategien.</w:t>
            </w:r>
          </w:p>
        </w:tc>
      </w:tr>
      <w:tr>
        <w:trPr>
          <w:cantSplit/>
        </w:trPr>
        <w:tc>
          <w:tcPr>
            <w:tcW w:type="dxa" w:w="950"/>
            <w:tcMar>
              <w:top w:w="55" w:type="dxa"/>
              <w:start w:w="55" w:type="dxa"/>
              <w:bottom w:w="55" w:type="dxa"/>
              <w:end w:w="55" w:type="dxa"/>
            </w:tcMar>
          </w:tcPr>
          <w:p>
            <w:pPr>
              <w:spacing w:after="0" w:line="230" w:lineRule="auto" w:before="0"/>
            </w:pPr>
            <w:r>
              <w:rPr>
                <w:rFonts w:ascii="Arial" w:hAnsi="Arial" w:eastAsia="Arial"/>
                <w:color w:val="243447"/>
                <w:sz w:val="16"/>
              </w:rPr>
              <w:t>B</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Niederrhein · Bergisches Land · südliches Rheinland</w:t>
            </w:r>
          </w:p>
        </w:tc>
        <w:tc>
          <w:tcPr>
            <w:tcW w:type="dxa" w:w="5600"/>
            <w:tcMar>
              <w:top w:w="55" w:type="dxa"/>
              <w:start w:w="55" w:type="dxa"/>
              <w:bottom w:w="55" w:type="dxa"/>
              <w:end w:w="55" w:type="dxa"/>
            </w:tcMar>
          </w:tcPr>
          <w:p>
            <w:pPr>
              <w:spacing w:after="0" w:line="230" w:lineRule="auto" w:before="0"/>
            </w:pPr>
            <w:r>
              <w:rPr>
                <w:rFonts w:ascii="Arial" w:hAnsi="Arial" w:eastAsia="Arial"/>
                <w:color w:val="243447"/>
                <w:sz w:val="16"/>
              </w:rPr>
              <w:t>Gute Erreichbarkeit und potenziell geringere Objektkosten; Bedarf muss je Arbeitgeber und ÖPNV-Anbindung geprüft werden.</w:t>
            </w:r>
          </w:p>
        </w:tc>
      </w:tr>
      <w:tr>
        <w:trPr>
          <w:cantSplit/>
        </w:trPr>
        <w:tc>
          <w:tcPr>
            <w:tcW w:type="dxa" w:w="950"/>
            <w:shd w:fill="F8FAFC"/>
            <w:tcMar>
              <w:top w:w="55" w:type="dxa"/>
              <w:start w:w="55" w:type="dxa"/>
              <w:bottom w:w="55" w:type="dxa"/>
              <w:end w:w="55" w:type="dxa"/>
            </w:tcMar>
          </w:tcPr>
          <w:p>
            <w:pPr>
              <w:spacing w:after="0" w:line="230" w:lineRule="auto" w:before="0"/>
            </w:pPr>
            <w:r>
              <w:rPr>
                <w:rFonts w:ascii="Arial" w:hAnsi="Arial" w:eastAsia="Arial"/>
                <w:color w:val="243447"/>
                <w:sz w:val="16"/>
              </w:rPr>
              <w:t>C</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Übriges NRW und bundesweite Mandate</w:t>
            </w:r>
          </w:p>
        </w:tc>
        <w:tc>
          <w:tcPr>
            <w:tcW w:type="dxa" w:w="5600"/>
            <w:shd w:fill="F8FAFC"/>
            <w:tcMar>
              <w:top w:w="55" w:type="dxa"/>
              <w:start w:w="55" w:type="dxa"/>
              <w:bottom w:w="55" w:type="dxa"/>
              <w:end w:w="55" w:type="dxa"/>
            </w:tcMar>
          </w:tcPr>
          <w:p>
            <w:pPr>
              <w:spacing w:after="0" w:line="230" w:lineRule="auto" w:before="0"/>
            </w:pPr>
            <w:r>
              <w:rPr>
                <w:rFonts w:ascii="Arial" w:hAnsi="Arial" w:eastAsia="Arial"/>
                <w:color w:val="243447"/>
                <w:sz w:val="16"/>
              </w:rPr>
              <w:t>Bearbeitung zunächst nur bei Ankerkunden, Partnernetzwerk oder ausreichend großem Projektvolumen.</w:t>
            </w:r>
          </w:p>
        </w:tc>
      </w:tr>
    </w:tbl>
    <w:p>
      <w:pPr>
        <w:pStyle w:val="BodyText"/>
        <w:spacing w:after="44" w:before="0" w:line="245" w:lineRule="auto"/>
        <w:jc w:val="both"/>
      </w:pPr>
      <w:r>
        <w:rPr>
          <w:rFonts w:ascii="Arial" w:hAnsi="Arial" w:eastAsia="Arial"/>
          <w:i w:val="0"/>
          <w:color w:val="243447"/>
          <w:sz w:val="19"/>
        </w:rPr>
        <w:t>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pPr>
        <w:pStyle w:val="Heading2"/>
        <w:keepNext/>
        <w:pBdr>
          <w:bottom w:val="single" w:sz="8" w:space="6" w:color="B08D57"/>
        </w:pBdr>
        <w:spacing w:after="50" w:before="100" w:line="240" w:lineRule="auto"/>
      </w:pPr>
      <w:r>
        <w:rPr>
          <w:rFonts w:ascii="Arial" w:hAnsi="Arial" w:eastAsia="Arial" w:cs="Arial"/>
          <w:b/>
          <w:color w:val="1E3A5F"/>
          <w:sz w:val="24"/>
        </w:rPr>
        <w:t>Wettbewerb und Ersatzlösungen</w:t>
      </w:r>
    </w:p>
    <w:p>
      <w:pPr>
        <w:pStyle w:val="BodyText"/>
        <w:spacing w:after="44" w:before="0" w:line="245" w:lineRule="auto"/>
        <w:jc w:val="both"/>
      </w:pPr>
      <w:r>
        <w:rPr>
          <w:rFonts w:ascii="Arial" w:hAnsi="Arial" w:eastAsia="Arial"/>
          <w:i w:val="0"/>
          <w:color w:val="243447"/>
          <w:sz w:val="19"/>
        </w:rPr>
        <w:t>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50"/>
        <w:gridCol w:w="3400"/>
        <w:gridCol w:w="4400"/>
      </w:tblGrid>
      <w:tr>
        <w:trPr>
          <w:tblHeader/>
        </w:trPr>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Alternative</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Stärke</w:t>
            </w:r>
          </w:p>
        </w:tc>
        <w:tc>
          <w:tcPr>
            <w:tcW w:type="dxa" w:w="4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Verbleibende Lücke</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Interne Eigenorganisation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Direkte Kontrolle, vorhandenes Arbeitgeberwissen und keine externe Projektvergütung</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Hoher Koordinationsaufwand, verteilte Verantwortung, geringe Skalierbarkeit und schwer messbare interne Kosten</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Relocation-Agenturen</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Visa-, Behörden-, Wohnungssuch- und Einlebensservices; teils bundesweite Erfahrung</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Nicht immer Objektentwicklung, Möblierungssteuerung, Gruppenwohnen und arbeitgeberbezogenes Housing-Management aus einer Hand</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Möblierte Wohnplattformen / Corporate Housing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Schnelle Verfügbarkeit, Online-Buchung und flexible Laufzeiten</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Häufig Transaktions- oder Unterkunftsfokus ohne Gesamtprojekt, Integration und langfristige Arbeitgebersteuerung</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Makler und lokale Vermittler</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Lokale Marktkenntnis und Zugang zu einzelnen Objekten</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durchgängige Verantwortung für Bedarf, Möblierung, Einzug, Ankunftsgruppe, Reporting und Stabilisierung</w:t>
            </w:r>
          </w:p>
        </w:tc>
      </w:tr>
      <w:tr>
        <w:trPr>
          <w:cantSplit/>
        </w:trPr>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Beratungen Mitarbeiterwohnen</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Strategie-, Flächen- und Konzeptkompetenz für Arbeitgeber, Kommunen und Wohnungswirtschaft</w:t>
            </w:r>
          </w:p>
        </w:tc>
        <w:tc>
          <w:tcPr>
            <w:tcW w:type="dxa" w:w="4400"/>
            <w:tcMar>
              <w:top w:w="55" w:type="dxa"/>
              <w:start w:w="55" w:type="dxa"/>
              <w:bottom w:w="55" w:type="dxa"/>
              <w:end w:w="55" w:type="dxa"/>
            </w:tcMar>
          </w:tcPr>
          <w:p>
            <w:pPr>
              <w:spacing w:after="0" w:line="230" w:lineRule="auto" w:before="0"/>
            </w:pPr>
            <w:r>
              <w:rPr>
                <w:rFonts w:ascii="Arial" w:hAnsi="Arial" w:eastAsia="Arial"/>
                <w:color w:val="243447"/>
                <w:sz w:val="16"/>
              </w:rPr>
              <w:t>Teilweise stärker konzeptionell als operativ; lokale Umsetzung und Arrival Management bleiben gesonderte Arbeitspakete</w:t>
            </w:r>
          </w:p>
        </w:tc>
      </w:tr>
      <w:tr>
        <w:trPr>
          <w:cantSplit/>
        </w:trPr>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Wohnheime / Bestände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Hohe Kontrolle und langfristige Verfügbarkeit</w:t>
            </w:r>
          </w:p>
        </w:tc>
        <w:tc>
          <w:tcPr>
            <w:tcW w:type="dxa" w:w="4400"/>
            <w:shd w:fill="F8FAFC"/>
            <w:tcMar>
              <w:top w:w="55" w:type="dxa"/>
              <w:start w:w="55" w:type="dxa"/>
              <w:bottom w:w="55" w:type="dxa"/>
              <w:end w:w="55" w:type="dxa"/>
            </w:tcMar>
          </w:tcPr>
          <w:p>
            <w:pPr>
              <w:spacing w:after="0" w:line="230" w:lineRule="auto" w:before="0"/>
            </w:pPr>
            <w:r>
              <w:rPr>
                <w:rFonts w:ascii="Arial" w:hAnsi="Arial" w:eastAsia="Arial"/>
                <w:color w:val="243447"/>
                <w:sz w:val="16"/>
              </w:rPr>
              <w:t>Kapitalbindung, Instandhaltung, Belegungsrisiko und häufig fehlende Kapazität für zusätzliche Rekrutierungswellen</w:t>
            </w:r>
          </w:p>
        </w:tc>
      </w:tr>
    </w:tbl>
    <w:p>
      <w:pPr>
        <w:pStyle w:val="Heading3"/>
        <w:keepNext/>
        <w:spacing w:after="30" w:before="70" w:line="240" w:lineRule="auto"/>
      </w:pPr>
      <w:r>
        <w:rPr>
          <w:rFonts w:ascii="Arial" w:hAnsi="Arial" w:eastAsia="Arial" w:cs="Arial"/>
          <w:b/>
          <w:color w:val="102A43"/>
          <w:sz w:val="20"/>
        </w:rPr>
        <w:t>Relevante Benchmarks</w:t>
      </w:r>
    </w:p>
    <w:p>
      <w:pPr>
        <w:pStyle w:val="BodyText"/>
        <w:spacing w:after="44" w:before="0" w:line="245" w:lineRule="auto"/>
        <w:jc w:val="both"/>
      </w:pPr>
      <w:r>
        <w:rPr>
          <w:rFonts w:ascii="Arial" w:hAnsi="Arial" w:eastAsia="Arial"/>
          <w:i w:val="0"/>
          <w:color w:val="243447"/>
          <w:sz w:val="19"/>
        </w:rPr>
        <w:t>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pPr>
        <w:pStyle w:val="BodyText"/>
        <w:spacing w:after="44" w:before="0" w:line="245" w:lineRule="auto"/>
        <w:jc w:val="both"/>
      </w:pPr>
      <w:r>
        <w:rPr>
          <w:rFonts w:ascii="Arial" w:hAnsi="Arial" w:eastAsia="Arial"/>
          <w:i w:val="0"/>
          <w:color w:val="243447"/>
          <w:sz w:val="19"/>
        </w:rPr>
        <w:t>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pPr>
        <w:pStyle w:val="Heading2"/>
        <w:keepNext/>
        <w:pBdr>
          <w:bottom w:val="single" w:sz="8" w:space="6" w:color="B08D57"/>
        </w:pBdr>
        <w:spacing w:after="50" w:before="100" w:line="240" w:lineRule="auto"/>
      </w:pPr>
      <w:r>
        <w:rPr>
          <w:rFonts w:ascii="Arial" w:hAnsi="Arial" w:eastAsia="Arial" w:cs="Arial"/>
          <w:b/>
          <w:color w:val="1E3A5F"/>
          <w:sz w:val="24"/>
        </w:rPr>
        <w:t>Positionierung und verteidigbare Vorteile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3900"/>
        <w:gridCol w:w="37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Vorteil</w:t>
            </w:r>
          </w:p>
        </w:tc>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Kundennutzen</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Wie er aufgebaut wird</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Healthcare- und Immobilienkompetenz</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Übersetzung zwischen HR, Pflegebetrieb, Vermietern und Dienstleistern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Referenzprojekte, Standards, Partnernetzwerk und dokumentierte Projekterfahrung</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Ein verantworteter Prozess</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Schnittstellen und ein klarer Status von Bedarf bis Stabilisierung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Projektplan, RACI, Checklisten, Abnahmen, Eskalationslogik und Reporting</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Kapitalarmer Einstieg</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Kunde kann Leistungen projektbezogen einkaufen, ohne dass AMAVIO vorschnell Bestandsrisiken aufbaut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Projektmandate zuerst; Eigenbetrieb nur bei gesicherter Nachfrage und Liquidität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Lokales Angebotsnetzwerk</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Schnellere Beschaffung und verlässlichere Umsetzung je Zielregion</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Vermieter-, Makler-, Handwerker-, Möblierungs- und Community-Partner mit Qualitätskriterien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Daten- und Lernsystem</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Wiederholbare Abläufe und zunehmend belastbare Zeit-, Kosten- und Qualitätswerte</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CRM, Objektpipeline, SLA-/KPI-Daten, Feedback und strukturierte Projektnachkalkulation</w:t>
            </w:r>
          </w:p>
        </w:tc>
      </w:tr>
    </w:tbl>
    <w:p>
      <w:pPr>
        <w:pStyle w:val="Heading3"/>
        <w:keepNext/>
        <w:spacing w:after="30" w:before="70" w:line="240" w:lineRule="auto"/>
      </w:pPr>
      <w:r>
        <w:rPr>
          <w:rFonts w:ascii="Arial" w:hAnsi="Arial" w:eastAsia="Arial" w:cs="Arial"/>
          <w:b/>
          <w:color w:val="102A43"/>
          <w:sz w:val="20"/>
        </w:rPr>
        <w:t>Markteintrittsbarrieren und Reaktion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650"/>
        <w:gridCol w:w="41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Barriere</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4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AMAVIO-Reaktion</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Vertrauen und Referenzen</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Arbeitgeber vergeben sensible Ankunftsprozesse nicht allein auf Basis eines Konzepts.</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Eng abgegrenzter Pilot, klarer Leistungsnachweis, Referenzen und transparente Verantwortungsgrenzen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Objektzugang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 kann kurzfristig fehlen oder wirtschaftlich ungeeignet sein.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Mehrkanalige Pipeline, Alternativobjekte, keine Verfügbarkeitsgarantie ohne gesicherten Bestand</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Recht und Nutzung</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Untervermietung, Zweckentfremdung, Nutzungsänderung oder Datenschutz können Projekte begrenzen.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Frühe Prüfpunkte und Zusammenarbeit mit befugten Rechts-, Steuer- und Fachplanungsberatern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Kapital und Belegung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Eigene Anmietungen erzeugen Fixkosten und Leerstandsrisiken.</w:t>
            </w:r>
          </w:p>
        </w:tc>
        <w:tc>
          <w:tcPr>
            <w:tcW w:type="dxa" w:w="41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Projektgeschäft priorisieren; Betreiberentscheidungen nur nach Nachfrage-, Liquiditäts- und Exit-Prüfung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Nachahmbarkeit einzelner Services</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Wohnungssuche oder Welcome-Leistungen lassen sich kopieren.</w:t>
            </w:r>
          </w:p>
        </w:tc>
        <w:tc>
          <w:tcPr>
            <w:tcW w:type="dxa" w:w="4100"/>
            <w:tcMar>
              <w:top w:w="55" w:type="dxa"/>
              <w:start w:w="55" w:type="dxa"/>
              <w:bottom w:w="55" w:type="dxa"/>
              <w:end w:w="55" w:type="dxa"/>
            </w:tcMar>
          </w:tcPr>
          <w:p>
            <w:pPr>
              <w:spacing w:after="0" w:line="230" w:lineRule="auto" w:before="0"/>
            </w:pPr>
            <w:r>
              <w:rPr>
                <w:rFonts w:ascii="Arial" w:hAnsi="Arial" w:eastAsia="Arial"/>
                <w:color w:val="243447"/>
                <w:sz w:val="16"/>
              </w:rPr>
              <w:t>Vorsprung über Netzwerk, Prozessdaten, Ausführungserfahrung, Kundenintegration und wiederkehrende Verträge</w:t>
            </w:r>
          </w:p>
        </w:tc>
      </w:tr>
    </w:tbl>
    <w:p>
      <w:pPr>
        <w:pStyle w:val="Heading3"/>
        <w:keepNext/>
        <w:spacing w:after="30" w:before="70" w:line="240" w:lineRule="auto"/>
      </w:pPr>
      <w:r>
        <w:rPr>
          <w:rFonts w:ascii="Arial" w:hAnsi="Arial" w:eastAsia="Arial" w:cs="Arial"/>
          <w:b/>
          <w:color w:val="102A43"/>
          <w:sz w:val="20"/>
        </w:rPr>
        <w:t>Strategische Schlussfolgerung</w:t>
      </w:r>
    </w:p>
    <w:p>
      <w:pPr>
        <w:pStyle w:val="BodyText"/>
        <w:spacing w:after="44" w:before="0" w:line="245" w:lineRule="auto"/>
        <w:jc w:val="both"/>
      </w:pPr>
      <w:r>
        <w:rPr>
          <w:rFonts w:ascii="Arial" w:hAnsi="Arial" w:eastAsia="Arial"/>
          <w:i w:val="0"/>
          <w:color w:val="243447"/>
          <w:sz w:val="19"/>
        </w:rPr>
        <w:t>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MARKTENTSCHEIDUNG  </w:t>
      </w:r>
      <w:r>
        <w:rPr>
          <w:rFonts w:ascii="Arial" w:hAnsi="Arial" w:eastAsia="Arial"/>
          <w:color w:val="243447"/>
          <w:sz w:val="19"/>
        </w:rPr>
        <w:t>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pPr>
        <w:pStyle w:val="Heading1"/>
        <w:keepNext/>
        <w:spacing w:before="140" w:after="80" w:line="240" w:lineRule="auto"/>
        <w:pBdr>
          <w:bottom w:val="single" w:sz="8" w:space="6" w:color="B08D57"/>
        </w:pBdr>
      </w:pPr>
      <w:r>
        <w:rPr>
          <w:rFonts w:ascii="Arial" w:hAnsi="Arial" w:eastAsia="Arial" w:cs="Arial"/>
          <w:b/>
          <w:color w:val="102A43"/>
          <w:sz w:val="32"/>
        </w:rPr>
        <w:t>5. Vertriebs- und Marketingstrategie</w:t>
      </w:r>
    </w:p>
    <w:p>
      <w:pPr>
        <w:pStyle w:val="Heading2"/>
        <w:keepNext/>
        <w:pBdr>
          <w:bottom w:val="single" w:sz="8" w:space="6" w:color="B08D57"/>
        </w:pBdr>
        <w:spacing w:after="50" w:before="100" w:line="240" w:lineRule="auto"/>
      </w:pPr>
      <w:r>
        <w:rPr>
          <w:rFonts w:ascii="Arial" w:hAnsi="Arial" w:eastAsia="Arial" w:cs="Arial"/>
          <w:b/>
          <w:color w:val="1E3A5F"/>
          <w:sz w:val="24"/>
        </w:rPr>
        <w:t>Markteintritt: Vertrauen vor Reichweite</w:t>
      </w:r>
    </w:p>
    <w:p>
      <w:pPr>
        <w:pStyle w:val="BodyText"/>
        <w:spacing w:after="44" w:before="0" w:line="245" w:lineRule="auto"/>
        <w:jc w:val="both"/>
      </w:pPr>
      <w:r>
        <w:rPr>
          <w:rFonts w:ascii="Arial" w:hAnsi="Arial" w:eastAsia="Arial"/>
          <w:i w:val="0"/>
          <w:color w:val="243447"/>
          <w:sz w:val="19"/>
        </w:rPr>
        <w:t>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pPr>
        <w:pStyle w:val="BodyText"/>
        <w:spacing w:after="44" w:before="0" w:line="245" w:lineRule="auto"/>
        <w:jc w:val="both"/>
      </w:pPr>
      <w:r>
        <w:rPr>
          <w:rFonts w:ascii="Arial" w:hAnsi="Arial" w:eastAsia="Arial"/>
          <w:i w:val="0"/>
          <w:color w:val="243447"/>
          <w:sz w:val="19"/>
        </w:rPr>
        <w:t>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VERTRIEBSVERSPRECHEN  </w:t>
      </w:r>
      <w:r>
        <w:rPr>
          <w:rFonts w:ascii="Arial" w:hAnsi="Arial" w:eastAsia="Arial"/>
          <w:color w:val="243447"/>
          <w:sz w:val="19"/>
        </w:rPr>
        <w:t>AMAVIO schafft einen verantworteten Prozess zwischen bestätigter Personalankunft und stabilem Alltag: mit transparentem Projektstatus, einer umsetzbaren Wohnraumstrategie, koordinierten Partnern und einem festen Ansprechpartner für den Arbeitgeber.</w:t>
      </w:r>
    </w:p>
    <w:p>
      <w:pPr>
        <w:pStyle w:val="Heading3"/>
        <w:keepNext/>
        <w:spacing w:after="30" w:before="70" w:line="240" w:lineRule="auto"/>
      </w:pPr>
      <w:r>
        <w:rPr>
          <w:rFonts w:ascii="Arial" w:hAnsi="Arial" w:eastAsia="Arial" w:cs="Arial"/>
          <w:b/>
          <w:color w:val="102A43"/>
          <w:sz w:val="20"/>
        </w:rPr>
        <w:t>Kommerzielle Zielsetzung der ersten 24 Monate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50"/>
        <w:gridCol w:w="4650"/>
        <w:gridCol w:w="3450"/>
      </w:tblGrid>
      <w:tr>
        <w:trPr>
          <w:tblHeader/>
        </w:trPr>
        <w:tc>
          <w:tcPr>
            <w:tcW w:type="dxa" w:w="1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Zeitraum</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Vertriebsziel</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Nachweis</w:t>
            </w:r>
          </w:p>
        </w:tc>
      </w:tr>
      <w:tr>
        <w:trPr>
          <w:cantSplit/>
        </w:trPr>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0–6 Monate</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Netzwerk reaktivieren, 40–60 Zielaccounts qualifizieren und erste bezahlte Blueprints oder klar begrenzte Launch-Piloten gewinnen</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CRM, Gesprächsnotizen, Bedarfsdaten, Angebote und mindestens ein Referenzprojekt</w:t>
            </w:r>
          </w:p>
        </w:tc>
      </w:tr>
      <w:tr>
        <w:trPr>
          <w:cantSplit/>
        </w:trPr>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7–12 Monate</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Wiederholbare Ansprache etablieren, 3–5 bezahlte Mandate kumuliert und erste Anschlussbeauftragung erreichen</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Konversionsdaten, Projekt-KPIs, Testimonial bzw. freigegebene Fallstudie</w:t>
            </w:r>
          </w:p>
        </w:tc>
      </w:tr>
      <w:tr>
        <w:trPr>
          <w:cantSplit/>
        </w:trPr>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13–24 Monate</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8–12 Projektmandate kumuliert und 2–4 wiederkehrende Management- oder Rolloutbeziehungen aufbauen</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Rahmenvertrag, Folgeauftrag, planbare Pipeline und belastbare Nachkalkulation</w:t>
            </w:r>
          </w:p>
        </w:tc>
      </w:tr>
    </w:tbl>
    <w:p>
      <w:pPr>
        <w:pStyle w:val="BodyText"/>
        <w:spacing w:after="44" w:before="0" w:line="245" w:lineRule="auto"/>
        <w:jc w:val="both"/>
      </w:pPr>
      <w:r>
        <w:rPr>
          <w:rFonts w:ascii="Arial" w:hAnsi="Arial" w:eastAsia="Arial"/>
          <w:i w:val="0"/>
          <w:color w:val="243447"/>
          <w:sz w:val="19"/>
        </w:rPr>
        <w:t>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pPr>
        <w:pStyle w:val="Heading2"/>
        <w:keepNext/>
        <w:pBdr>
          <w:bottom w:val="single" w:sz="8" w:space="6" w:color="B08D57"/>
        </w:pBdr>
        <w:spacing w:after="50" w:before="100" w:line="240" w:lineRule="auto"/>
      </w:pPr>
      <w:r>
        <w:rPr>
          <w:rFonts w:ascii="Arial" w:hAnsi="Arial" w:eastAsia="Arial" w:cs="Arial"/>
          <w:b/>
          <w:color w:val="1E3A5F"/>
          <w:sz w:val="24"/>
        </w:rPr>
        <w:t>Account-Auswahl und Vertriebspriorität</w:t>
      </w:r>
    </w:p>
    <w:p>
      <w:pPr>
        <w:pStyle w:val="BodyText"/>
        <w:spacing w:after="44" w:before="0" w:line="245" w:lineRule="auto"/>
        <w:jc w:val="both"/>
      </w:pPr>
      <w:r>
        <w:rPr>
          <w:rFonts w:ascii="Arial" w:hAnsi="Arial" w:eastAsia="Arial"/>
          <w:i w:val="0"/>
          <w:color w:val="243447"/>
          <w:sz w:val="19"/>
        </w:rPr>
        <w:t>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000"/>
        <w:gridCol w:w="1050"/>
        <w:gridCol w:w="5700"/>
      </w:tblGrid>
      <w:tr>
        <w:trPr>
          <w:tblHeader/>
        </w:trPr>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Kriterium</w:t>
            </w:r>
          </w:p>
        </w:tc>
        <w:tc>
          <w:tcPr>
            <w:tcW w:type="dxa" w:w="1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Gewicht</w:t>
            </w:r>
          </w:p>
        </w:tc>
        <w:tc>
          <w:tcPr>
            <w:tcW w:type="dxa" w:w="5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Prüfzeichen</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Bestätigte Ankünfte in den nächsten 12 Monaten</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25 %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Zahl, Profile, Standort und geplanter Arbeitsbeginn sind konkret</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Wohnraum- und Integrationslücke</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20 %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Kein ausreichender Bestand, hohe Übergangskosten oder überlastete Eigenorganisation</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Zugang zum Buying Center</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Kontakt zu HR/Recruiting plus Entscheider, Einkauf oder operativer Leitung</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Budget- und Beschaffungsfähigkeit</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Budgetpfad, Freigabestufe und Vertragspartei sind grundsätzlich klärbar</w:t>
            </w:r>
          </w:p>
        </w:tc>
      </w:tr>
      <w:tr>
        <w:trPr>
          <w:cantSplit/>
        </w:trPr>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Standort- und Objektmachbarkeit</w:t>
            </w:r>
          </w:p>
        </w:tc>
        <w:tc>
          <w:tcPr>
            <w:tcW w:type="dxa" w:w="1050"/>
            <w:tcMar>
              <w:top w:w="55" w:type="dxa"/>
              <w:start w:w="55" w:type="dxa"/>
              <w:bottom w:w="55" w:type="dxa"/>
              <w:end w:w="55" w:type="dxa"/>
            </w:tcMar>
          </w:tcPr>
          <w:p>
            <w:pPr>
              <w:spacing w:after="0" w:line="230" w:lineRule="auto" w:before="0"/>
            </w:pPr>
            <w:r>
              <w:rPr>
                <w:rFonts w:ascii="Arial" w:hAnsi="Arial" w:eastAsia="Arial"/>
                <w:color w:val="243447"/>
                <w:sz w:val="16"/>
              </w:rPr>
              <w:t>15 %</w:t>
            </w:r>
          </w:p>
        </w:tc>
        <w:tc>
          <w:tcPr>
            <w:tcW w:type="dxa" w:w="5700"/>
            <w:tcMar>
              <w:top w:w="55" w:type="dxa"/>
              <w:start w:w="55" w:type="dxa"/>
              <w:bottom w:w="55" w:type="dxa"/>
              <w:end w:w="55" w:type="dxa"/>
            </w:tcMar>
          </w:tcPr>
          <w:p>
            <w:pPr>
              <w:spacing w:after="0" w:line="230" w:lineRule="auto" w:before="0"/>
            </w:pPr>
            <w:r>
              <w:rPr>
                <w:rFonts w:ascii="Arial" w:hAnsi="Arial" w:eastAsia="Arial"/>
                <w:color w:val="243447"/>
                <w:sz w:val="16"/>
              </w:rPr>
              <w:t>Suchradius, Schichtweg und verfügbare Wohnalternativen erscheinen realistisch</w:t>
            </w:r>
          </w:p>
        </w:tc>
      </w:tr>
      <w:tr>
        <w:trPr>
          <w:cantSplit/>
        </w:trPr>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Referenz- und Rolloutpotenzial</w:t>
            </w:r>
          </w:p>
        </w:tc>
        <w:tc>
          <w:tcPr>
            <w:tcW w:type="dxa" w:w="1050"/>
            <w:shd w:fill="F8FAFC"/>
            <w:tcMar>
              <w:top w:w="55" w:type="dxa"/>
              <w:start w:w="55" w:type="dxa"/>
              <w:bottom w:w="55" w:type="dxa"/>
              <w:end w:w="55" w:type="dxa"/>
            </w:tcMar>
          </w:tcPr>
          <w:p>
            <w:pPr>
              <w:spacing w:after="0" w:line="230" w:lineRule="auto" w:before="0"/>
            </w:pPr>
            <w:r>
              <w:rPr>
                <w:rFonts w:ascii="Arial" w:hAnsi="Arial" w:eastAsia="Arial"/>
                <w:color w:val="243447"/>
                <w:sz w:val="16"/>
              </w:rPr>
              <w:t>10 %</w:t>
            </w:r>
          </w:p>
        </w:tc>
        <w:tc>
          <w:tcPr>
            <w:tcW w:type="dxa" w:w="5700"/>
            <w:shd w:fill="F8FAFC"/>
            <w:tcMar>
              <w:top w:w="55" w:type="dxa"/>
              <w:start w:w="55" w:type="dxa"/>
              <w:bottom w:w="55" w:type="dxa"/>
              <w:end w:w="55" w:type="dxa"/>
            </w:tcMar>
          </w:tcPr>
          <w:p>
            <w:pPr>
              <w:spacing w:after="0" w:line="230" w:lineRule="auto" w:before="0"/>
            </w:pPr>
            <w:r>
              <w:rPr>
                <w:rFonts w:ascii="Arial" w:hAnsi="Arial" w:eastAsia="Arial"/>
                <w:color w:val="243447"/>
                <w:sz w:val="16"/>
              </w:rPr>
              <w:t>Weitere Gruppen, Standorte oder öffentlich nutzbare Referenz sind möglich</w:t>
            </w:r>
          </w:p>
        </w:tc>
      </w:tr>
    </w:tbl>
    <w:p>
      <w:pPr>
        <w:pStyle w:val="BodyText"/>
        <w:spacing w:after="44" w:before="0" w:line="245" w:lineRule="auto"/>
        <w:jc w:val="both"/>
      </w:pPr>
      <w:r>
        <w:rPr>
          <w:rFonts w:ascii="Arial" w:hAnsi="Arial" w:eastAsia="Arial"/>
          <w:i w:val="0"/>
          <w:color w:val="243447"/>
          <w:sz w:val="19"/>
        </w:rPr>
        <w:t>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pPr>
        <w:pStyle w:val="Heading3"/>
        <w:keepNext/>
        <w:spacing w:after="30" w:before="70" w:line="240" w:lineRule="auto"/>
      </w:pPr>
      <w:r>
        <w:rPr>
          <w:rFonts w:ascii="Arial" w:hAnsi="Arial" w:eastAsia="Arial" w:cs="Arial"/>
          <w:b/>
          <w:color w:val="102A43"/>
          <w:sz w:val="20"/>
        </w:rPr>
        <w:t>Vertriebswege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00"/>
        <w:gridCol w:w="380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Kanal</w:t>
            </w:r>
          </w:p>
        </w:tc>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 im Start</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Bestehendes Healthcare-Netzwerk</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Warmer Zugang zu Klinikleitungen, HR, Recruiting und Trägern</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Primär: persönliche Einführung, Bedarfsgespräch, Standortbesuch</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Founder-led Direktvertrieb</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Gezielte Ansprache priorisierter Accounts mit konkreter Hypothese</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Primär: E-Mail, Telefon, LinkedIn und persönliche Termine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Recruiting- und Relocationpartner</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Zugang zu bestätigten Ankunftsgruppen und regionalen Umsetzungslücken</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Selektiv: klare Kundenzuordnung, Vergütung und Datenrollen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Immobilien- und Umsetzungspartner</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Objektzugang, lokale Leistungsfähigkeit und gemeinsame Projektchancen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Parallel: Vermieter, Makler, Wohnungsunternehmen, Möbel, Handwerk</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Fachbeiträge und Veranstaltungen</w:t>
            </w:r>
          </w:p>
        </w:tc>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Vertrauensaufbau durch praktische, belegte Inhalte</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Unterstützend: Fallstudien, Checklisten, Webinare, Klinik- und Pflegenetzwerke</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Vergaben und Ausschreibungen</w:t>
            </w:r>
          </w:p>
        </w:tc>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Zugang zu größeren oder öffentlichen Auftraggebern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Selektiv: nur bei passender Eignung, Referenzlage und vertretbarem Aufwand</w:t>
            </w:r>
          </w:p>
        </w:tc>
      </w:tr>
    </w:tbl>
    <w:p>
      <w:pPr>
        <w:pStyle w:val="Heading2"/>
        <w:keepNext/>
        <w:pBdr>
          <w:bottom w:val="single" w:sz="8" w:space="6" w:color="B08D57"/>
        </w:pBdr>
        <w:spacing w:after="50" w:before="100" w:line="240" w:lineRule="auto"/>
      </w:pPr>
      <w:r>
        <w:rPr>
          <w:rFonts w:ascii="Arial" w:hAnsi="Arial" w:eastAsia="Arial" w:cs="Arial"/>
          <w:b/>
          <w:color w:val="1E3A5F"/>
          <w:sz w:val="24"/>
        </w:rPr>
        <w:t>Botschaft und vertriebsfähige Nachweise</w:t>
      </w:r>
    </w:p>
    <w:p>
      <w:pPr>
        <w:pStyle w:val="BodyText"/>
        <w:spacing w:after="44" w:before="0" w:line="245" w:lineRule="auto"/>
        <w:jc w:val="both"/>
      </w:pPr>
      <w:r>
        <w:rPr>
          <w:rFonts w:ascii="Arial" w:hAnsi="Arial" w:eastAsia="Arial"/>
          <w:i w:val="0"/>
          <w:color w:val="243447"/>
          <w:sz w:val="19"/>
        </w:rPr>
        <w:t>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4500"/>
        <w:gridCol w:w="280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Vertriebsbaustein</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Management-One-Pager</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Problem, Prozess, drei Leistungspakete, Ergebnisse und klare Leistungsgrenzen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Erstkontakt und interne Weiterleitung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Bedarfs-Check</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Ankünfte, Standorte, Zeit, Bestand, interne Rollen, Kostenblöcke und Risiken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30–45-minütiges Qualifizierungsgespräch</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Pilotangebot</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Leistungsumfang, Meilensteine, Fremdkosten, Mitwirkung, Annahmen und Abnahme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Verbindliche Entscheidung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Business-Case-Arbeitsblatt</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Interne Stunden, Übergangswohnen, Verzögerungen und tatsächliche Fallkosten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Kundenspezifische Wirtschaftlichkeitsprüfung</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Leistungs- und Sicherheitsakte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RACI, Datenschutzrollen, Eskalation, Versicherungen und Fachpartner</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Einkauf, Recht und Datenschutz</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Fallstudie / Referenz</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Ausgangslage, Umsetzung, KPI-Vorher/Nachher und Kundenfreigabe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Vertrauensaufbau und Rollout</w:t>
            </w:r>
          </w:p>
        </w:tc>
      </w:tr>
    </w:tbl>
    <w:p>
      <w:pPr>
        <w:pStyle w:val="BodyText"/>
        <w:spacing w:after="44" w:before="0" w:line="245" w:lineRule="auto"/>
        <w:jc w:val="both"/>
      </w:pPr>
      <w:r>
        <w:rPr>
          <w:rFonts w:ascii="Arial" w:hAnsi="Arial" w:eastAsia="Arial"/>
          <w:i w:val="0"/>
          <w:color w:val="243447"/>
          <w:sz w:val="19"/>
        </w:rPr>
        <w:t>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pPr>
        <w:pStyle w:val="Heading2"/>
        <w:keepNext/>
        <w:pBdr>
          <w:bottom w:val="single" w:sz="8" w:space="6" w:color="B08D57"/>
        </w:pBdr>
        <w:spacing w:after="50" w:before="100" w:line="240" w:lineRule="auto"/>
      </w:pPr>
      <w:r>
        <w:rPr>
          <w:rFonts w:ascii="Arial" w:hAnsi="Arial" w:eastAsia="Arial" w:cs="Arial"/>
          <w:b/>
          <w:color w:val="1E3A5F"/>
          <w:sz w:val="24"/>
        </w:rPr>
        <w:t>Vertriebstrichter und Pilotabschluss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Stufe</w:t>
            </w:r>
          </w:p>
        </w:tc>
        <w:tc>
          <w:tcPr>
            <w:tcW w:type="dxa" w:w="4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Pflichtkriterium</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Nächster Schritt</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1 · Zielaccount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ICP- und Score-Kriterien grundsätzlich erfüllt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Personen im Buying Center recherchieren und Ansprachehypothese formulieren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2 · Erstkontakt</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Relevante Rolle reagiert oder Einführung ist bestätigt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Qualifizierungstermin vereinbaren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3 · Qualifiziert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Ankunft, Standort, Problem, Entscheider und Zeitfenster sind konkret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Bedarfsworkshop anbieten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4 · Opportunity</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Budgetpfad und Beschaffungsweg sind bekannt; Projekt ist grundsätzlich machbar</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Leistungsumfang und Pilot kalkulieren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5 · Angebot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Entscheidungstermin, Vertragspartei und offene Punkte sind dokumentiert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Freigabe, Verhandlung oder begründeter Verlust</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6 · Gewonnen</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Unterzeichneter Auftrag, Ansprechpartner und Kick-off-Termin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Saubere Übergabe an Projektsteuerung</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7 · Ausbau</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Pilot abgenommen und Nutzen dokumentiert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Folgegruppe, Standort oder Housing &amp; Arrival Office</w:t>
            </w:r>
          </w:p>
        </w:tc>
      </w:tr>
    </w:tbl>
    <w:p>
      <w:pPr>
        <w:pStyle w:val="Heading3"/>
        <w:keepNext/>
        <w:spacing w:after="30" w:before="70" w:line="240" w:lineRule="auto"/>
      </w:pPr>
      <w:r>
        <w:rPr>
          <w:rFonts w:ascii="Arial" w:hAnsi="Arial" w:eastAsia="Arial" w:cs="Arial"/>
          <w:b/>
          <w:color w:val="102A43"/>
          <w:sz w:val="20"/>
        </w:rPr>
        <w:t>Planannahmen für die Vertriebssteuerung</w:t>
      </w:r>
    </w:p>
    <w:p>
      <w:pPr>
        <w:pStyle w:val="BodyText"/>
        <w:spacing w:after="44" w:before="0" w:line="245" w:lineRule="auto"/>
        <w:jc w:val="both"/>
      </w:pPr>
      <w:r>
        <w:rPr>
          <w:rFonts w:ascii="Arial" w:hAnsi="Arial" w:eastAsia="Arial"/>
          <w:i w:val="0"/>
          <w:color w:val="243447"/>
          <w:sz w:val="19"/>
        </w:rPr>
        <w:t>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00"/>
        <w:gridCol w:w="2650"/>
        <w:gridCol w:w="4500"/>
      </w:tblGrid>
      <w:tr>
        <w:trPr>
          <w:tblHeader/>
        </w:trPr>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Startziel</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Steuerungsfrage</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Neue qualifizierte Erstgespräche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4–6 pro Monat</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Entsteht ausreichend neue, passende Nachfrage?</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Opportunity-Quote</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mind. 30 % der qualifizierten Gespräche</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Wird ein konkreter Bedarf mit Entscheidungsweg sichtbar?</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Angebotsquote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mind. 50 % der Opportunities</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Sind Bedarf, Machbarkeit und Budget ausreichend geklärt?</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Abschlussquote</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20–30 % der Angebote</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Sind Angebot, Vertrauen und Pilotumfang überzeugend?</w:t>
            </w:r>
          </w:p>
        </w:tc>
      </w:tr>
      <w:tr>
        <w:trPr>
          <w:cantSplit/>
        </w:trPr>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Pipeline Coverage</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mind. 3 × nächstes 6-Monats-Umsatzziel</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Ist trotz langer Zyklen genug gewichtete Pipeline vorhanden?</w:t>
            </w:r>
          </w:p>
        </w:tc>
      </w:tr>
      <w:tr>
        <w:trPr>
          <w:cantSplit/>
        </w:trPr>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Akquisekosten</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Gründerzeit + externe Vertriebs-/Reisekosten je gewonnenem Auftrag</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Trägt der Deckungsbeitrag den Vertriebsaufwand?</w:t>
            </w:r>
          </w:p>
        </w:tc>
      </w:tr>
    </w:tbl>
    <w:p>
      <w:pPr>
        <w:pStyle w:val="BodyText"/>
        <w:spacing w:after="44" w:before="0" w:line="245" w:lineRule="auto"/>
        <w:jc w:val="both"/>
      </w:pPr>
      <w:r>
        <w:rPr>
          <w:rFonts w:ascii="Arial" w:hAnsi="Arial" w:eastAsia="Arial"/>
          <w:i w:val="0"/>
          <w:color w:val="243447"/>
          <w:sz w:val="19"/>
        </w:rPr>
        <w:t>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pPr>
        <w:pStyle w:val="Heading3"/>
        <w:keepNext/>
        <w:spacing w:after="30" w:before="70" w:line="240" w:lineRule="auto"/>
      </w:pPr>
      <w:r>
        <w:rPr>
          <w:rFonts w:ascii="Arial" w:hAnsi="Arial" w:eastAsia="Arial" w:cs="Arial"/>
          <w:b/>
          <w:color w:val="102A43"/>
          <w:sz w:val="20"/>
        </w:rPr>
        <w:t>Pilot als risikoarmer Einstieg</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Enger Scope  </w:t>
      </w:r>
      <w:r>
        <w:rPr>
          <w:rFonts w:ascii="Arial" w:hAnsi="Arial" w:eastAsia="Arial"/>
          <w:color w:val="243447"/>
          <w:sz w:val="19"/>
        </w:rPr>
        <w:t>Ein Standort, eine definierte Ankunftsgruppe oder eine klar abgegrenzte Wohnraumstrategie.</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Kurze Entscheidungsstrecke  </w:t>
      </w:r>
      <w:r>
        <w:rPr>
          <w:rFonts w:ascii="Arial" w:hAnsi="Arial" w:eastAsia="Arial"/>
          <w:color w:val="243447"/>
          <w:sz w:val="19"/>
        </w:rPr>
        <w:t>Benannter Sponsor, operativer Ansprechpartner, Budgetverantwortung und wöchentlicher Steuerungstermin.</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Messbare Abnahme  </w:t>
      </w:r>
      <w:r>
        <w:rPr>
          <w:rFonts w:ascii="Arial" w:hAnsi="Arial" w:eastAsia="Arial"/>
          <w:color w:val="243447"/>
          <w:sz w:val="19"/>
        </w:rPr>
        <w:t>Vereinbarte Dokumente, Meilensteine, Objektentscheidungen, Bezugsfertigkeit oder Stabilisierungsergebnisse.</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Begrenztes Risiko  </w:t>
      </w:r>
      <w:r>
        <w:rPr>
          <w:rFonts w:ascii="Arial" w:hAnsi="Arial" w:eastAsia="Arial"/>
          <w:color w:val="243447"/>
          <w:sz w:val="19"/>
        </w:rPr>
        <w:t>Keine Verfügbarkeits-, Genehmigungs- oder Bindungsgarantie; Fremdkosten und Kundenentscheidungen bleiben transparent.</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Definierter Ausbau  </w:t>
      </w:r>
      <w:r>
        <w:rPr>
          <w:rFonts w:ascii="Arial" w:hAnsi="Arial" w:eastAsia="Arial"/>
          <w:color w:val="243447"/>
          <w:sz w:val="19"/>
        </w:rPr>
        <w:t>Bereits im Angebot wird festgelegt, nach welchen Ergebnissen ein weiterer Standort oder ein laufender Vertrag geprüft wird.</w:t>
      </w:r>
    </w:p>
    <w:p>
      <w:pPr>
        <w:pStyle w:val="Heading3"/>
        <w:keepNext/>
        <w:spacing w:after="30" w:before="70" w:line="240" w:lineRule="auto"/>
      </w:pPr>
      <w:r>
        <w:rPr>
          <w:rFonts w:ascii="Arial" w:hAnsi="Arial" w:eastAsia="Arial" w:cs="Arial"/>
          <w:b/>
          <w:color w:val="102A43"/>
          <w:sz w:val="20"/>
        </w:rPr>
        <w:t>90-Tage-Vertriebsrhythmus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00"/>
        <w:gridCol w:w="290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Kernaktivitäten</w:t>
            </w:r>
          </w:p>
        </w:tc>
        <w:tc>
          <w:tcPr>
            <w:tcW w:type="dxa" w:w="2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Entscheidungsziel</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Tag 1–30 · Grundlage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40–60 Zielaccounts strukturieren, warme Zugänge aktivieren, One-Pager und Bedarfs-Check finalisieren, erste 8–12 Gespräche führen</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Mindestens fünf belastbar qualifizierte Bedarfe oder klare Lernhypothesen</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Tag 31–60 · Validierung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Vertiefungstermine und Bedarfsworkshops, Partnerabdeckung in A-Korridoren, Pilotumfang und Business Case mit Kunden entwickeln</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Zwei bis vier konkrete Opportunities mit Entscheider, Zeitplan und Budgetpfad</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Tag 61–90 · Konversion</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Angebote verhandeln, Einwände und Beschaffungsfragen schließen, Kick-off vorbereiten und verlorene Fälle systematisch auswerten</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Erstes bezahltes Mandat oder dokumentierter Maßnahmenplan zur Schließung der Abschlusslücke</w:t>
            </w:r>
          </w:p>
        </w:tc>
      </w:tr>
    </w:tbl>
    <w:p>
      <w:pPr>
        <w:pStyle w:val="BodyText"/>
        <w:spacing w:after="44" w:before="0" w:line="245" w:lineRule="auto"/>
        <w:jc w:val="both"/>
      </w:pPr>
      <w:r>
        <w:rPr>
          <w:rFonts w:ascii="Arial" w:hAnsi="Arial" w:eastAsia="Arial"/>
          <w:i w:val="0"/>
          <w:color w:val="243447"/>
          <w:sz w:val="19"/>
        </w:rPr>
        <w:t>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pPr>
        <w:pStyle w:val="Heading3"/>
        <w:keepNext/>
        <w:spacing w:after="30" w:before="70" w:line="240" w:lineRule="auto"/>
      </w:pPr>
      <w:r>
        <w:rPr>
          <w:rFonts w:ascii="Arial" w:hAnsi="Arial" w:eastAsia="Arial" w:cs="Arial"/>
          <w:b/>
          <w:color w:val="102A43"/>
          <w:sz w:val="20"/>
        </w:rPr>
        <w:t>Fachliches Marketing statt Werbedruck</w:t>
      </w:r>
    </w:p>
    <w:p>
      <w:pPr>
        <w:pStyle w:val="BodyText"/>
        <w:spacing w:after="44" w:before="0" w:line="245" w:lineRule="auto"/>
        <w:jc w:val="both"/>
      </w:pPr>
      <w:r>
        <w:rPr>
          <w:rFonts w:ascii="Arial" w:hAnsi="Arial" w:eastAsia="Arial"/>
          <w:i w:val="0"/>
          <w:color w:val="243447"/>
          <w:sz w:val="19"/>
        </w:rPr>
        <w:t>Marketing unterstützt den persönlichen Vertrieb, ersetzt ihn aber nicht. AMAVIO veröffentlicht wenige, fachlich belastbare Inhalte, die intern weitergeleitet werden können und eine konkrete Kauf- oder Umsetzungsfrage beantworten. Der Schwerpunkt liegt auf LinkedIn, direktem Versand an passende Kontakte, Partnerveranstaltungen und später freigegebenen Fallstudien.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200"/>
        <w:gridCol w:w="3300"/>
      </w:tblGrid>
      <w:tr>
        <w:trPr>
          <w:tblHeader/>
        </w:trPr>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Inhaltssäule</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Beispiel</w:t>
            </w:r>
          </w:p>
        </w:tc>
        <w:tc>
          <w:tcPr>
            <w:tcW w:type="dxa" w:w="3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Zweck</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Entscheiderwissen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Kosten- und Risikologik fehlender Wohnraumstrukturen</w:t>
            </w:r>
          </w:p>
        </w:tc>
        <w:tc>
          <w:tcPr>
            <w:tcW w:type="dxa" w:w="3300"/>
            <w:tcMar>
              <w:top w:w="55" w:type="dxa"/>
              <w:start w:w="55" w:type="dxa"/>
              <w:bottom w:w="55" w:type="dxa"/>
              <w:end w:w="55" w:type="dxa"/>
            </w:tcMar>
          </w:tcPr>
          <w:p>
            <w:pPr>
              <w:spacing w:after="0" w:line="230" w:lineRule="auto" w:before="0"/>
            </w:pPr>
            <w:r>
              <w:rPr>
                <w:rFonts w:ascii="Arial" w:hAnsi="Arial" w:eastAsia="Arial"/>
                <w:color w:val="243447"/>
                <w:sz w:val="16"/>
              </w:rPr>
              <w:t>Geschäftsführung, HR und Finanzen für den Business Case sensibilisieren</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Operative Werkzeuge</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Housing-Readiness-Check, Ankunftsplan oder 100-Tage-Checkliste</w:t>
            </w:r>
          </w:p>
        </w:tc>
        <w:tc>
          <w:tcPr>
            <w:tcW w:type="dxa" w:w="3300"/>
            <w:shd w:fill="F8FAFC"/>
            <w:tcMar>
              <w:top w:w="55" w:type="dxa"/>
              <w:start w:w="55" w:type="dxa"/>
              <w:bottom w:w="55" w:type="dxa"/>
              <w:end w:w="55" w:type="dxa"/>
            </w:tcMar>
          </w:tcPr>
          <w:p>
            <w:pPr>
              <w:spacing w:after="0" w:line="230" w:lineRule="auto" w:before="0"/>
            </w:pPr>
            <w:r>
              <w:rPr>
                <w:rFonts w:ascii="Arial" w:hAnsi="Arial" w:eastAsia="Arial"/>
                <w:color w:val="243447"/>
                <w:sz w:val="16"/>
              </w:rPr>
              <w:t>Kompetenz beweisen und qualifizierte Gespräche auslösen</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Markt- und Praxisdaten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Wohnungsmarkt, internationale Rekrutierung und regionale Objektalternativen</w:t>
            </w:r>
          </w:p>
        </w:tc>
        <w:tc>
          <w:tcPr>
            <w:tcW w:type="dxa" w:w="3300"/>
            <w:tcMar>
              <w:top w:w="55" w:type="dxa"/>
              <w:start w:w="55" w:type="dxa"/>
              <w:bottom w:w="55" w:type="dxa"/>
              <w:end w:w="55" w:type="dxa"/>
            </w:tcMar>
          </w:tcPr>
          <w:p>
            <w:pPr>
              <w:spacing w:after="0" w:line="230" w:lineRule="auto" w:before="0"/>
            </w:pPr>
            <w:r>
              <w:rPr>
                <w:rFonts w:ascii="Arial" w:hAnsi="Arial" w:eastAsia="Arial"/>
                <w:color w:val="243447"/>
                <w:sz w:val="16"/>
              </w:rPr>
              <w:t>Dringlichkeit belegen, ohne Angst- oder Übertreibungsmarketing</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Projektbeweis</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Freigegebene Fallstudie mit Zeit, Scope, KPI und Lernpunkten</w:t>
            </w:r>
          </w:p>
        </w:tc>
        <w:tc>
          <w:tcPr>
            <w:tcW w:type="dxa" w:w="33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 für Pilot, Folgeauftrag und Rollout aufbauen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6. Operatives Umsetzungskonzept und Wertschöpfung</w:t>
      </w:r>
    </w:p>
    <w:p>
      <w:pPr>
        <w:pStyle w:val="Heading2"/>
        <w:keepNext/>
        <w:pBdr>
          <w:bottom w:val="single" w:sz="8" w:space="6" w:color="B08D57"/>
        </w:pBdr>
        <w:spacing w:after="50" w:before="100" w:line="240" w:lineRule="auto"/>
      </w:pPr>
      <w:r>
        <w:rPr>
          <w:rFonts w:ascii="Arial" w:hAnsi="Arial" w:eastAsia="Arial" w:cs="Arial"/>
          <w:b/>
          <w:color w:val="1E3A5F"/>
          <w:sz w:val="24"/>
        </w:rPr>
        <w:t>Betriebsmodell und Wertschöpfung</w:t>
      </w:r>
    </w:p>
    <w:p>
      <w:pPr>
        <w:pStyle w:val="BodyText"/>
        <w:spacing w:after="44" w:before="0" w:line="245" w:lineRule="auto"/>
        <w:jc w:val="both"/>
      </w:pPr>
      <w:r>
        <w:rPr>
          <w:rFonts w:ascii="Arial" w:hAnsi="Arial" w:eastAsia="Arial"/>
          <w:i w:val="0"/>
          <w:color w:val="243447"/>
          <w:sz w:val="19"/>
        </w:rPr>
        <w:t>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50"/>
        <w:gridCol w:w="4700"/>
        <w:gridCol w:w="2800"/>
      </w:tblGrid>
      <w:tr>
        <w:trPr>
          <w:tblHeader/>
        </w:trPr>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Wertschöpfungsstufe</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AMAVIO-Kernleistung</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Ergebnis</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Bedarf und Auftrag</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Ziel, Umfang, Stakeholder, Daten, Termine und Entscheidungsrechte klären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Projektauftrag, RACI, Termin- und Risikobasis</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Wohn- und Arrival-Konzept</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Wohnformen, Suchradius, Übergang, Serviceumfang und Kostenkorridor entwickeln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Freigegebene Strategie und priorisierte Varianten</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Supply und Partner</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Objekte und Dienstleister identifizieren, vergleichen und entscheidungsreif aufbereiten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Shortlist, Angebote, Objekt- und Partnermatrix</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Realisierung</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koordinieren, Möblierung, Lieferanten, Übergaben und Mängel steuern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dokumentierte Wohnlösung</w:t>
            </w:r>
          </w:p>
        </w:tc>
      </w:tr>
      <w:tr>
        <w:trPr>
          <w:cantSplit/>
        </w:trPr>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Einzug und Stabilisierung</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Information, Schlüssel, Orientierung, Support und Eskalation organisieren</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Planbarer Einzug und 30-/60-/90-Tage-Status</w:t>
            </w:r>
          </w:p>
        </w:tc>
      </w:tr>
      <w:tr>
        <w:trPr>
          <w:cantSplit/>
        </w:trPr>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Abschluss und Lernen</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Ergebnisse, Kosten, Zeit, Abweichungen und Feedback auswerten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Abnahme, Nachkalkulation und Verbesserungsplan</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LEISTUNGSGRENZE  </w:t>
      </w:r>
      <w:r>
        <w:rPr>
          <w:rFonts w:ascii="Arial" w:hAnsi="Arial" w:eastAsia="Arial"/>
          <w:color w:val="243447"/>
          <w:sz w:val="19"/>
        </w:rPr>
        <w:t>AMAVIO koordiniert und dokumentiert. Rechtsberatung, Steuerberatung, behördliche Entscheidungen, technische Freigaben, Bauplanung, Visa- und Anerkennungsentscheidungen sowie medizinische oder pflegerische Leistungen werden nicht als eigene Befugnis dargestellt.</w:t>
      </w:r>
    </w:p>
    <w:p>
      <w:pPr>
        <w:pStyle w:val="Heading2"/>
        <w:keepNext/>
        <w:pBdr>
          <w:bottom w:val="single" w:sz="8" w:space="6" w:color="B08D57"/>
        </w:pBdr>
        <w:spacing w:after="50" w:before="100" w:line="240" w:lineRule="auto"/>
      </w:pPr>
      <w:r>
        <w:rPr>
          <w:rFonts w:ascii="Arial" w:hAnsi="Arial" w:eastAsia="Arial" w:cs="Arial"/>
          <w:b/>
          <w:color w:val="1E3A5F"/>
          <w:sz w:val="24"/>
        </w:rPr>
        <w:t>Standardprozess mit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1900"/>
        <w:gridCol w:w="5650"/>
      </w:tblGrid>
      <w:tr>
        <w:trPr>
          <w:tblHeader/>
        </w:trPr>
        <w:tc>
          <w:tcPr>
            <w:tcW w:type="dxa" w:w="2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Richtzeit</w:t>
            </w:r>
          </w:p>
        </w:tc>
        <w:tc>
          <w:tcPr>
            <w:tcW w:type="dxa" w:w="5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 und Mindestoutput</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0 · Qualifizierung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3–10 Arbeitstage</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Go/No-Go: Auftraggeber, Bedarf, Zeit, Budgetpfad und grundsätzliche Machbarkeit</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1 · Bedarf und Kick-off</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1–2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G1: Bedarfsmatrix, RACI, Datenraum, Terminplan und Ausgangs-KPIs freigegeben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2 · Konzept</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2–3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G2: Zielbild, Varianten, Kostenkorridor, Suchprofil und Risikoregister freigegeben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3 · Beschaffung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G3: Shortlist, Vergleich, Besichtigungs-/Prüfstatus und Kundenentscheidung dokumentiert</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4 · Prüfung und Vertrag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1–3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G4: Kaufmännische Prüfung, zulässige Nutzung, externe Fachprüfungen und Vertragsweg geklärt</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5 · Realisierung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3–10 Wochen</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G5: Möblierung, Versorgung, Mängel, Inventar und Bezugsfertigkeit abgenommen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6 · Einzug</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2–4 Wochen</w:t>
            </w:r>
          </w:p>
        </w:tc>
        <w:tc>
          <w:tcPr>
            <w:tcW w:type="dxa" w:w="5650"/>
            <w:tcMar>
              <w:top w:w="55" w:type="dxa"/>
              <w:start w:w="55" w:type="dxa"/>
              <w:bottom w:w="55" w:type="dxa"/>
              <w:end w:w="55" w:type="dxa"/>
            </w:tcMar>
          </w:tcPr>
          <w:p>
            <w:pPr>
              <w:spacing w:after="0" w:line="230" w:lineRule="auto" w:before="0"/>
            </w:pPr>
            <w:r>
              <w:rPr>
                <w:rFonts w:ascii="Arial" w:hAnsi="Arial" w:eastAsia="Arial"/>
                <w:color w:val="243447"/>
                <w:sz w:val="16"/>
              </w:rPr>
              <w:t>G6: Belegung, Unterlagen, Schlüssel, Kontakt- und Notfallwege vollständig</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7 · Stabilisierung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30–90 Tage; optional laufend</w:t>
            </w:r>
          </w:p>
        </w:tc>
        <w:tc>
          <w:tcPr>
            <w:tcW w:type="dxa" w:w="5650"/>
            <w:shd w:fill="F8FAFC"/>
            <w:tcMar>
              <w:top w:w="55" w:type="dxa"/>
              <w:start w:w="55" w:type="dxa"/>
              <w:bottom w:w="55" w:type="dxa"/>
              <w:end w:w="55" w:type="dxa"/>
            </w:tcMar>
          </w:tcPr>
          <w:p>
            <w:pPr>
              <w:spacing w:after="0" w:line="230" w:lineRule="auto" w:before="0"/>
            </w:pPr>
            <w:r>
              <w:rPr>
                <w:rFonts w:ascii="Arial" w:hAnsi="Arial" w:eastAsia="Arial"/>
                <w:color w:val="243447"/>
                <w:sz w:val="16"/>
              </w:rPr>
              <w:t>G7: Fälle, Feedback, KPI-Bericht, offene Maßnahmen und Abschluss/Übergang</w:t>
            </w:r>
          </w:p>
        </w:tc>
      </w:tr>
    </w:tbl>
    <w:p>
      <w:pPr>
        <w:pStyle w:val="BodyText"/>
        <w:spacing w:after="44" w:before="0" w:line="245" w:lineRule="auto"/>
        <w:jc w:val="both"/>
      </w:pPr>
      <w:r>
        <w:rPr>
          <w:rFonts w:ascii="Arial" w:hAnsi="Arial" w:eastAsia="Arial"/>
          <w:i w:val="0"/>
          <w:color w:val="243447"/>
          <w:sz w:val="19"/>
        </w:rPr>
        <w:t>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pPr>
        <w:pStyle w:val="Heading2"/>
        <w:keepNext/>
        <w:pBdr>
          <w:bottom w:val="single" w:sz="8" w:space="6" w:color="B08D57"/>
        </w:pBdr>
        <w:spacing w:after="50" w:before="100" w:line="240" w:lineRule="auto"/>
      </w:pPr>
      <w:r>
        <w:rPr>
          <w:rFonts w:ascii="Arial" w:hAnsi="Arial" w:eastAsia="Arial" w:cs="Arial"/>
          <w:b/>
          <w:color w:val="1E3A5F"/>
          <w:sz w:val="24"/>
        </w:rPr>
        <w:t>Rollen, Mitwirkung und Übergaben</w:t>
      </w:r>
    </w:p>
    <w:p>
      <w:pPr>
        <w:pStyle w:val="BodyText"/>
        <w:spacing w:after="44" w:before="0" w:line="245" w:lineRule="auto"/>
        <w:jc w:val="both"/>
      </w:pPr>
      <w:r>
        <w:rPr>
          <w:rFonts w:ascii="Arial" w:hAnsi="Arial" w:eastAsia="Arial"/>
          <w:i w:val="0"/>
          <w:color w:val="243447"/>
          <w:sz w:val="19"/>
        </w:rPr>
        <w:t>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2700"/>
        <w:gridCol w:w="2800"/>
        <w:gridCol w:w="190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Aufgabe</w:t>
            </w:r>
          </w:p>
        </w:tc>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AMAVIO</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Kunde / Arbeitgeber</w:t>
            </w:r>
          </w:p>
        </w:tc>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Partner / Bewohner</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Bedarf, Projektplan und Status</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verantwortet Erstellung und Reporting</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entscheidet, liefert Daten und benennt Sponsor</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wirken bei Bedarf mit</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Objektsuche und Vergleich</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steuert Suche und Entscheidungsvorlage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genehmigt Kriterien, Kosten und Auswahl</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Vermieter/Makler liefern Nachweise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Recht, Technik und Nutzung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koordiniert Prüfpunkte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beauftragt/freigibt nach Vertragsmodell</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befugte Fachpartner prüfen und bestätigen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und Zahlungen</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koordiniert Fristen und Unterlagen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unterzeichnet und zahlt im Projektmodell</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Vertragspartner stellen korrekte Dokumente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Möblierung und Bezugsfertigkeit</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steuert Plan, Lieferanten und Abnahme</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genehmigt Budget und Änderungen</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Lieferanten leisten; Bewohner melden Mängel</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und Orientierung</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koordiniert Informationen und Übergabe</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liefert Personal-/Startdaten und betriebliche Einführung</w:t>
            </w:r>
          </w:p>
        </w:tc>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Bewohner wirken mit und bestätigen Übergabe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Fachliche Einarbeitung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nicht verantwortlich</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voll verantwortlich</w:t>
            </w:r>
          </w:p>
        </w:tc>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Fachbereich führt durch</w:t>
            </w:r>
          </w:p>
        </w:tc>
      </w:tr>
    </w:tbl>
    <w:p>
      <w:pPr>
        <w:pStyle w:val="Heading2"/>
        <w:keepNext/>
        <w:pBdr>
          <w:bottom w:val="single" w:sz="8" w:space="6" w:color="B08D57"/>
        </w:pBdr>
        <w:spacing w:after="50" w:before="100" w:line="240" w:lineRule="auto"/>
      </w:pPr>
      <w:r>
        <w:rPr>
          <w:rFonts w:ascii="Arial" w:hAnsi="Arial" w:eastAsia="Arial" w:cs="Arial"/>
          <w:b/>
          <w:color w:val="1E3A5F"/>
          <w:sz w:val="24"/>
        </w:rPr>
        <w:t>Kapazitäts- und Ressourcenplanung</w:t>
      </w:r>
    </w:p>
    <w:p>
      <w:pPr>
        <w:pStyle w:val="BodyText"/>
        <w:spacing w:after="44" w:before="0" w:line="245" w:lineRule="auto"/>
        <w:jc w:val="both"/>
      </w:pPr>
      <w:r>
        <w:rPr>
          <w:rFonts w:ascii="Arial" w:hAnsi="Arial" w:eastAsia="Arial"/>
          <w:i w:val="0"/>
          <w:color w:val="243447"/>
          <w:sz w:val="19"/>
        </w:rPr>
        <w:t>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00"/>
        <w:gridCol w:w="4250"/>
        <w:gridCol w:w="3100"/>
      </w:tblGrid>
      <w:tr>
        <w:trPr>
          <w:tblHeader/>
        </w:trPr>
        <w:tc>
          <w:tcPr>
            <w:tcW w:type="dxa" w:w="2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Kapazitätsregel</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Startstandard</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Zweck</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Auslastungsgrenze</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max. 70 % der verfügbaren Gründerzeit fest verplanen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Reserve für Vertrieb, Eskalationen, Administration und Unvorhergesehenes</w:t>
            </w:r>
          </w:p>
        </w:tc>
      </w:tr>
      <w:tr>
        <w:trPr>
          <w:cantSplit/>
        </w:trPr>
        <w:tc>
          <w:tcPr>
            <w:tcW w:type="dxa" w:w="2400"/>
            <w:shd w:fill="F8FAFC"/>
            <w:tcMar>
              <w:top w:w="55" w:type="dxa"/>
              <w:start w:w="55" w:type="dxa"/>
              <w:bottom w:w="55" w:type="dxa"/>
              <w:end w:w="55" w:type="dxa"/>
            </w:tcMar>
          </w:tcPr>
          <w:p>
            <w:pPr>
              <w:spacing w:after="0" w:line="230" w:lineRule="auto" w:before="0"/>
            </w:pPr>
            <w:r>
              <w:rPr>
                <w:rFonts w:ascii="Arial" w:hAnsi="Arial" w:eastAsia="Arial"/>
                <w:color w:val="243447"/>
                <w:sz w:val="16"/>
              </w:rPr>
              <w:t>Parallele Kernprojekte</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regelmäßig 1 Launch plus 1 Blueprint; zweiter Launch nur mit externer Projektunterstützung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 und Reaktionsfähigkeit sichern</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Projektstart</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kein Kick-off ohne Stundenbudget, Meilensteine und Zahlungsplan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unbezahlte Vorleistung und Scope Creep begrenzen</w:t>
            </w:r>
          </w:p>
        </w:tc>
      </w:tr>
      <w:tr>
        <w:trPr>
          <w:cantSplit/>
        </w:trPr>
        <w:tc>
          <w:tcPr>
            <w:tcW w:type="dxa" w:w="240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Partnerzuschaltung</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vor Auftrag definierte Trigger nach Region, Technik, Sprache und Vor-Ort-Volumen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variable statt vorschnell fixe Kosten</w:t>
            </w:r>
          </w:p>
        </w:tc>
      </w:tr>
      <w:tr>
        <w:trPr>
          <w:cantSplit/>
        </w:trPr>
        <w:tc>
          <w:tcPr>
            <w:tcW w:type="dxa" w:w="2400"/>
            <w:tcMar>
              <w:top w:w="55" w:type="dxa"/>
              <w:start w:w="55" w:type="dxa"/>
              <w:bottom w:w="55" w:type="dxa"/>
              <w:end w:w="55" w:type="dxa"/>
            </w:tcMar>
          </w:tcPr>
          <w:p>
            <w:pPr>
              <w:spacing w:after="0" w:line="230" w:lineRule="auto" w:before="0"/>
            </w:pPr>
            <w:r>
              <w:rPr>
                <w:rFonts w:ascii="Arial" w:hAnsi="Arial" w:eastAsia="Arial"/>
                <w:color w:val="243447"/>
                <w:sz w:val="16"/>
              </w:rPr>
              <w:t>Einstellung</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erst bei belastbarer Pipeline und mindestens sechs Monaten finanzierbarer Personalkosten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Fixkostenaufbau an wiederkehrende Nachfrage koppeln</w:t>
            </w:r>
          </w:p>
        </w:tc>
      </w:tr>
    </w:tbl>
    <w:p>
      <w:pPr>
        <w:pStyle w:val="Heading2"/>
        <w:keepNext/>
        <w:pBdr>
          <w:bottom w:val="single" w:sz="8" w:space="6" w:color="B08D57"/>
        </w:pBdr>
        <w:spacing w:after="16" w:before="0" w:line="228" w:lineRule="auto"/>
      </w:pPr>
      <w:r>
        <w:rPr>
          <w:rFonts w:ascii="Arial" w:hAnsi="Arial" w:eastAsia="Arial" w:cs="Arial"/>
          <w:b/>
          <w:color w:val="1E3A5F"/>
          <w:sz w:val="15"/>
        </w:rPr>
        <w:t>Qualitäts-, Daten- und Änderungsmanagement</w:t>
      </w:r>
    </w:p>
    <w:p>
      <w:pPr>
        <w:pStyle w:val="BodyText"/>
        <w:spacing w:after="16" w:before="0" w:line="228" w:lineRule="auto"/>
        <w:jc w:val="both"/>
      </w:pPr>
      <w:r>
        <w:rPr>
          <w:rFonts w:ascii="Arial" w:hAnsi="Arial" w:eastAsia="Arial"/>
          <w:i w:val="0"/>
          <w:color w:val="243447"/>
          <w:sz w:val="15"/>
        </w:rPr>
        <w:t>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50"/>
        <w:gridCol w:w="4300"/>
        <w:gridCol w:w="3400"/>
      </w:tblGrid>
      <w:tr>
        <w:trPr>
          <w:tblHeader/>
        </w:trPr>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Steuerungsfeld</w:t>
            </w:r>
          </w:p>
        </w:tc>
        <w:tc>
          <w:tcPr>
            <w:tcW w:type="dxa" w:w="4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Standard</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Eskalation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Termin</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Meilensteinplan mit Eigentümer und Fälligkeit</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Abweichung &gt; 5 Arbeitstage oder Gefahr für Einzug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Budget</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Freigabegrenzen und Forecast inkl. Fremdkosten</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Abweichung &gt; 10 % oder ungeplante Verpflichtung</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Scope</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Leistung, Ausschlüsse und Anzahl Revisionen schriftlich</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Change Request mit Zeit-, Preis- und Terminwirkung</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Checklisten und Abnahme je Gate</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Mangel priorisieren, Verantwortlichen und Lösungstermin festlegen</w:t>
            </w:r>
          </w:p>
        </w:tc>
      </w:tr>
      <w:tr>
        <w:trPr>
          <w:cantSplit/>
        </w:trPr>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Servicefall</w:t>
            </w:r>
          </w:p>
        </w:tc>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Ticket/Protokoll mit Kategorie und Reaktionsziel</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Sicherheits-, Wohn- oder Arbeitsstart-Risiko sofort an benannte Stelle</w:t>
            </w:r>
          </w:p>
        </w:tc>
      </w:tr>
      <w:tr>
        <w:trPr>
          <w:cantSplit/>
        </w:trPr>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Daten</w:t>
            </w:r>
          </w:p>
        </w:tc>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Minimaldaten, Rollenrechte und geregelter Austausch</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Fehlversand, unbefugter Zugriff oder unklarer Zweck nach Datenschutzprozess</w:t>
            </w:r>
          </w:p>
        </w:tc>
      </w:tr>
    </w:tbl>
    <w:p>
      <w:pPr>
        <w:pStyle w:val="Heading3"/>
        <w:keepNext/>
        <w:spacing w:after="30" w:before="70" w:line="240" w:lineRule="auto"/>
      </w:pPr>
      <w:r>
        <w:rPr>
          <w:rFonts w:ascii="Arial" w:hAnsi="Arial" w:eastAsia="Arial" w:cs="Arial"/>
          <w:b/>
          <w:color w:val="102A43"/>
          <w:sz w:val="20"/>
        </w:rPr>
        <w:t>Kern-KPIs der operativen Leistung</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4500"/>
        <w:gridCol w:w="27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KPI</w:t>
            </w:r>
          </w:p>
        </w:tc>
        <w:tc>
          <w:tcPr>
            <w:tcW w:type="dxa" w:w="4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Definition</w:t>
            </w:r>
          </w:p>
        </w:tc>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Startziel</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Time-to-Housing</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Tage von freigegebenem Suchauftrag bis bestätigter Wohnlösung</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projektspezifischer Baseline- und Zielwert</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On-time Move-in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Anteil der Einzüge am freigegebenen Termin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 90 %, soweit Ursache im steuerbaren Prozess liegt</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Decision Lead Time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Tage vom Entscheidungsvorschlag bis Kundenfreigabe</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 5 Arbeitstage oder vertraglich vereinbart</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Issue Resolution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Zeit bis Lösung bzw. belastbarer Maßnahmenplan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kritisch am selben Tag; Standard innerhalb 2 Arbeitstagen</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Budget Variance</w:t>
            </w:r>
          </w:p>
        </w:tc>
        <w:tc>
          <w:tcPr>
            <w:tcW w:type="dxa" w:w="4500"/>
            <w:tcMar>
              <w:top w:w="55" w:type="dxa"/>
              <w:start w:w="55" w:type="dxa"/>
              <w:bottom w:w="55" w:type="dxa"/>
              <w:end w:w="55" w:type="dxa"/>
            </w:tcMar>
          </w:tcPr>
          <w:p>
            <w:pPr>
              <w:spacing w:after="0" w:line="230" w:lineRule="auto" w:before="0"/>
            </w:pPr>
            <w:r>
              <w:rPr>
                <w:rFonts w:ascii="Arial" w:hAnsi="Arial" w:eastAsia="Arial"/>
                <w:color w:val="243447"/>
                <w:sz w:val="16"/>
              </w:rPr>
              <w:t>Abweichung Forecast zu freigegebenem Budget</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 10 % ohne genehmigten Change</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30/90-Day Satisfaction</w:t>
            </w:r>
          </w:p>
        </w:tc>
        <w:tc>
          <w:tcPr>
            <w:tcW w:type="dxa" w:w="450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standardisiertes Feedback von Bewohnern und Auftraggeber</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Baseline im Pilot, danach Verbesserungsziel</w:t>
            </w:r>
          </w:p>
        </w:tc>
      </w:tr>
    </w:tbl>
    <w:p>
      <w:pPr>
        <w:pStyle w:val="BodyText"/>
        <w:spacing w:after="44" w:before="0" w:line="245" w:lineRule="auto"/>
        <w:jc w:val="both"/>
      </w:pPr>
      <w:r>
        <w:rPr>
          <w:rFonts w:ascii="Arial" w:hAnsi="Arial" w:eastAsia="Arial"/>
          <w:i w:val="0"/>
          <w:color w:val="243447"/>
          <w:sz w:val="19"/>
        </w:rPr>
        <w:t>Zielwerte gelten nur für den von AMAVIO beeinflussbaren Leistungsbereich. Visa-, Anerkennungs-, Behörden-, Vermieter- oder Kundenverzögerungen werden als Ursachen getrennt ausgewiesen. So bleibt das Reporting ehrlich und dennoch steuerungsrelevant.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3100"/>
        <w:gridCol w:w="400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Leistung</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Startentscheidung</w:t>
            </w:r>
          </w:p>
        </w:tc>
        <w:tc>
          <w:tcPr>
            <w:tcW w:type="dxa" w:w="4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Auswahlkriterien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Projektsteuerung und Kundenführung</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intern durch Gründer</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Kernkompetenz, Vertrauen und Lernsystem</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Objektsuche und Vermieterkontakte</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intern + lokale Makler/Partner</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Marktzugang, Transparenz, keine unklaren Doppelprovisionen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Recht, Steuer, Datenschutz</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extern befugte Beratung</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Zulassung, Spezialisierung, klare Beauftragung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Technik, Brandschutz, Genehmigungsplanung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extern je Objekt</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Qualifikation, Haftung, Dokumentation und Reaktionszeit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Möblierung, Handwerk und Logistik</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extern gesteuert</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Preis, Termin, Gewährleistung, Ersatzfähigkeit und regionale Abdeckung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Mehrsprachiger Vor-Ort-Support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variabel nach Projekt</w:t>
            </w:r>
          </w:p>
        </w:tc>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Sprache, interkulturelle Eignung, Vertraulichkeit und Erreichbarkeit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CRM, Projekt- und Dokumentensystem</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standardisierte Software</w:t>
            </w:r>
          </w:p>
        </w:tc>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Rechte, Export, Datenschutz, Skalierbarkeit und Kosten</w:t>
            </w:r>
          </w:p>
        </w:tc>
      </w:tr>
    </w:tbl>
    <w:p>
      <w:pPr>
        <w:pStyle w:val="Heading1"/>
        <w:keepNext/>
        <w:spacing w:before="140" w:after="80" w:line="240" w:lineRule="auto"/>
        <w:pBdr>
          <w:bottom w:val="single" w:sz="8" w:space="6" w:color="B08D57"/>
        </w:pBdr>
      </w:pPr>
      <w:r>
        <w:rPr>
          <w:rFonts w:ascii="Arial" w:hAnsi="Arial" w:eastAsia="Arial" w:cs="Arial"/>
          <w:b/>
          <w:color w:val="102A43"/>
          <w:sz w:val="32"/>
        </w:rPr>
        <w:t>7. Unternehmensstruktur, Rechtsform, Partner und Personal</w:t>
      </w:r>
    </w:p>
    <w:p>
      <w:pPr>
        <w:pStyle w:val="Heading2"/>
        <w:keepNext/>
        <w:pBdr>
          <w:bottom w:val="single" w:sz="8" w:space="6" w:color="B08D57"/>
        </w:pBdr>
        <w:spacing w:after="50" w:before="100" w:line="240" w:lineRule="auto"/>
      </w:pPr>
      <w:r>
        <w:rPr>
          <w:rFonts w:ascii="Arial" w:hAnsi="Arial" w:eastAsia="Arial" w:cs="Arial"/>
          <w:b/>
          <w:color w:val="1E3A5F"/>
          <w:sz w:val="24"/>
        </w:rPr>
        <w:t>Rechtliche Identität und Markenarchitektur</w:t>
      </w:r>
    </w:p>
    <w:p>
      <w:pPr>
        <w:pStyle w:val="BodyText"/>
        <w:spacing w:after="44" w:before="0" w:line="245" w:lineRule="auto"/>
        <w:jc w:val="both"/>
      </w:pPr>
      <w:r>
        <w:t>„AMAVIO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pPr>
        <w:pStyle w:val="BodyText"/>
        <w:spacing w:after="44" w:before="0" w:line="245" w:lineRule="auto"/>
        <w:jc w:val="both"/>
      </w:pPr>
      <w:r>
        <w:rPr>
          <w:rFonts w:ascii="Arial" w:hAnsi="Arial" w:eastAsia="Arial"/>
          <w:i w:val="0"/>
          <w:color w:val="243447"/>
          <w:sz w:val="19"/>
        </w:rPr>
        <w:t>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RECHTSTRÄGER-LOGIK  </w:t>
      </w:r>
      <w:r>
        <w:rPr>
          <w:rFonts w:ascii="Arial" w:hAnsi="Arial" w:eastAsia="Arial"/>
          <w:color w:val="243447"/>
          <w:sz w:val="19"/>
        </w:rPr>
        <w:t>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pPr>
        <w:pStyle w:val="Heading3"/>
        <w:keepNext/>
        <w:spacing w:after="30" w:before="70" w:line="240" w:lineRule="auto"/>
      </w:pPr>
      <w:r>
        <w:rPr>
          <w:rFonts w:ascii="Arial" w:hAnsi="Arial" w:eastAsia="Arial" w:cs="Arial"/>
          <w:b/>
          <w:color w:val="102A43"/>
          <w:sz w:val="20"/>
        </w:rPr>
        <w:t>Unternehmensgegenstand als Start-Gate</w:t>
      </w:r>
    </w:p>
    <w:p>
      <w:pPr>
        <w:pStyle w:val="BodyText"/>
        <w:spacing w:after="44" w:before="0" w:line="245" w:lineRule="auto"/>
        <w:jc w:val="both"/>
      </w:pPr>
      <w:r>
        <w:rPr>
          <w:rFonts w:ascii="Arial" w:hAnsi="Arial" w:eastAsia="Arial"/>
          <w:i w:val="0"/>
          <w:color w:val="243447"/>
          <w:sz w:val="19"/>
        </w:rPr>
        <w:t>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4950"/>
        <w:gridCol w:w="28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w:t>
            </w:r>
          </w:p>
        </w:tc>
        <w:tc>
          <w:tcPr>
            <w:tcW w:type="dxa" w:w="4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Pflichtnachweis vor Freigabe</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Verantwortung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Satzung und Gewerbe</w:t>
            </w:r>
          </w:p>
        </w:tc>
        <w:tc>
          <w:tcPr>
            <w:tcW w:type="dxa" w:w="4950"/>
            <w:tcMar>
              <w:top w:w="55" w:type="dxa"/>
              <w:start w:w="55" w:type="dxa"/>
              <w:bottom w:w="55" w:type="dxa"/>
              <w:end w:w="55" w:type="dxa"/>
            </w:tcMar>
          </w:tcPr>
          <w:p>
            <w:pPr>
              <w:spacing w:after="0" w:line="230" w:lineRule="auto" w:before="0"/>
            </w:pPr>
            <w:r>
              <w:rPr>
                <w:rFonts w:ascii="Arial" w:hAnsi="Arial" w:eastAsia="Arial"/>
                <w:color w:val="243447"/>
                <w:sz w:val="16"/>
              </w:rPr>
              <w:t>Unternehmensgegenstand, Gewerbeanmeldung und tatsächliche Leistung sind konsistent</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Geschäftsführung + Notariat/Recht</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Kundenvertrag</w:t>
            </w:r>
          </w:p>
        </w:tc>
        <w:tc>
          <w:tcPr>
            <w:tcW w:type="dxa" w:w="4950"/>
            <w:shd w:fill="F8FAFC"/>
            <w:tcMar>
              <w:top w:w="55" w:type="dxa"/>
              <w:start w:w="55" w:type="dxa"/>
              <w:bottom w:w="55" w:type="dxa"/>
              <w:end w:w="55" w:type="dxa"/>
            </w:tcMar>
          </w:tcPr>
          <w:p>
            <w:pPr>
              <w:spacing w:after="0" w:line="230" w:lineRule="auto" w:before="0"/>
            </w:pPr>
            <w:r>
              <w:rPr>
                <w:rFonts w:ascii="Arial" w:hAnsi="Arial" w:eastAsia="Arial"/>
                <w:color w:val="243447"/>
                <w:sz w:val="16"/>
              </w:rPr>
              <w:t>Leistungsbild, Haftungsgrenzen, Mitwirkung, Abnahme, Vergütung und Datenschutzrollen</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Geschäftsführung + Recht</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Wohn-/Objektvertrag</w:t>
            </w:r>
          </w:p>
        </w:tc>
        <w:tc>
          <w:tcPr>
            <w:tcW w:type="dxa" w:w="4950"/>
            <w:tcMar>
              <w:top w:w="55" w:type="dxa"/>
              <w:start w:w="55" w:type="dxa"/>
              <w:bottom w:w="55" w:type="dxa"/>
              <w:end w:w="55" w:type="dxa"/>
            </w:tcMar>
          </w:tcPr>
          <w:p>
            <w:pPr>
              <w:spacing w:after="0" w:line="230" w:lineRule="auto" w:before="0"/>
            </w:pPr>
            <w:r>
              <w:rPr>
                <w:rFonts w:ascii="Arial" w:hAnsi="Arial" w:eastAsia="Arial"/>
                <w:color w:val="243447"/>
                <w:sz w:val="16"/>
              </w:rPr>
              <w:t>Nutzung, Untervermietung, Laufzeit, Kaution, Versicherung und Exit sind geprüft</w:t>
            </w:r>
          </w:p>
        </w:tc>
        <w:tc>
          <w:tcPr>
            <w:tcW w:type="dxa" w:w="2800"/>
            <w:tcMar>
              <w:top w:w="55" w:type="dxa"/>
              <w:start w:w="55" w:type="dxa"/>
              <w:bottom w:w="55" w:type="dxa"/>
              <w:end w:w="55" w:type="dxa"/>
            </w:tcMar>
          </w:tcPr>
          <w:p>
            <w:pPr>
              <w:spacing w:after="0" w:line="230" w:lineRule="auto" w:before="0"/>
            </w:pPr>
            <w:r>
              <w:rPr>
                <w:rFonts w:ascii="Arial" w:hAnsi="Arial" w:eastAsia="Arial"/>
                <w:color w:val="243447"/>
                <w:sz w:val="16"/>
              </w:rPr>
              <w:t>Geschäftsführung + Objekt-/Rechtsfachleute</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Fachleistung</w:t>
            </w:r>
          </w:p>
        </w:tc>
        <w:tc>
          <w:tcPr>
            <w:tcW w:type="dxa" w:w="4950"/>
            <w:shd w:fill="F8FAFC"/>
            <w:tcMar>
              <w:top w:w="55" w:type="dxa"/>
              <w:start w:w="55" w:type="dxa"/>
              <w:bottom w:w="55" w:type="dxa"/>
              <w:end w:w="55" w:type="dxa"/>
            </w:tcMar>
          </w:tcPr>
          <w:p>
            <w:pPr>
              <w:spacing w:after="0" w:line="230" w:lineRule="auto" w:before="0"/>
            </w:pPr>
            <w:r>
              <w:rPr>
                <w:rFonts w:ascii="Arial" w:hAnsi="Arial" w:eastAsia="Arial"/>
                <w:color w:val="243447"/>
                <w:sz w:val="16"/>
              </w:rPr>
              <w:t>Genehmigungs-, Steuer-, Rechts- oder Technikberatung wird nur durch befugte Partner erbracht</w:t>
            </w:r>
          </w:p>
        </w:tc>
        <w:tc>
          <w:tcPr>
            <w:tcW w:type="dxa" w:w="2800"/>
            <w:shd w:fill="F8FAFC"/>
            <w:tcMar>
              <w:top w:w="55" w:type="dxa"/>
              <w:start w:w="55" w:type="dxa"/>
              <w:bottom w:w="55" w:type="dxa"/>
              <w:end w:w="55" w:type="dxa"/>
            </w:tcMar>
          </w:tcPr>
          <w:p>
            <w:pPr>
              <w:spacing w:after="0" w:line="230" w:lineRule="auto" w:before="0"/>
            </w:pPr>
            <w:r>
              <w:rPr>
                <w:rFonts w:ascii="Arial" w:hAnsi="Arial" w:eastAsia="Arial"/>
                <w:color w:val="243447"/>
                <w:sz w:val="16"/>
              </w:rPr>
              <w:t>jeweiliger Fachpartner</w:t>
            </w:r>
          </w:p>
        </w:tc>
      </w:tr>
    </w:tbl>
    <w:p>
      <w:pPr>
        <w:pStyle w:val="Heading2"/>
        <w:keepNext/>
        <w:pBdr>
          <w:bottom w:val="single" w:sz="8" w:space="6" w:color="B08D57"/>
        </w:pBdr>
        <w:spacing w:after="50" w:before="100" w:line="240" w:lineRule="auto"/>
      </w:pPr>
      <w:r>
        <w:rPr>
          <w:rFonts w:ascii="Arial" w:hAnsi="Arial" w:eastAsia="Arial" w:cs="Arial"/>
          <w:b/>
          <w:color w:val="1E3A5F"/>
          <w:sz w:val="24"/>
        </w:rPr>
        <w:t>Führung, Governance und kaufmännische Kontrolle</w:t>
      </w:r>
    </w:p>
    <w:p>
      <w:pPr>
        <w:pStyle w:val="BodyText"/>
        <w:spacing w:after="44" w:before="0" w:line="245" w:lineRule="auto"/>
        <w:jc w:val="both"/>
      </w:pPr>
      <w:r>
        <w:rPr>
          <w:rFonts w:ascii="Arial" w:hAnsi="Arial" w:eastAsia="Arial"/>
          <w:i w:val="0"/>
          <w:color w:val="243447"/>
          <w:sz w:val="19"/>
        </w:rPr>
        <w:t>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4650"/>
        <w:gridCol w:w="320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Steuerungsrhythmus</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Inhalt</w:t>
            </w:r>
          </w:p>
        </w:tc>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Auslöser / Ergebnis</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Liquiditätsstatus, Forderungen, Projektstunden, Risiken und Entscheidungen</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sofortige Eskalation bei Termin-, Budget- oder Zahlungsrisiko</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BWA/Controlling, Pipeline, Auftragsbestand, Deckungsbeitrag und Kapazität</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Forecast für mindestens 13 Wochen und rollierend 12 Monate</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Je Auftrag</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Angebotskalkulation, Zahlungsplan, Fremdkosten, Change Requests und Nachkalkulation</w:t>
            </w:r>
          </w:p>
        </w:tc>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Go-/No-Go sowie Lernwerte für Folgeangebote</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Jährlich</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Jahresabschluss, Ergebnisverwendung, Rücklage, Offenlegung und Steuererklärungen</w:t>
            </w:r>
          </w:p>
        </w:tc>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Gesellschafterbeschlüsse und Compliance-Nachweis</w:t>
            </w:r>
          </w:p>
        </w:tc>
      </w:tr>
    </w:tbl>
    <w:p>
      <w:pPr>
        <w:pStyle w:val="Heading3"/>
        <w:keepNext/>
        <w:spacing w:after="30" w:before="70" w:line="240" w:lineRule="auto"/>
      </w:pPr>
      <w:r>
        <w:rPr>
          <w:rFonts w:ascii="Arial" w:hAnsi="Arial" w:eastAsia="Arial" w:cs="Arial"/>
          <w:b/>
          <w:color w:val="102A43"/>
          <w:sz w:val="20"/>
        </w:rPr>
        <w:t>Verpflichtungs- und Freigabegrenzen</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Keine private Vermischung  </w:t>
      </w:r>
      <w:r>
        <w:rPr>
          <w:rFonts w:ascii="Arial" w:hAnsi="Arial" w:eastAsia="Arial"/>
          <w:color w:val="243447"/>
          <w:sz w:val="19"/>
        </w:rPr>
        <w:t>Geschäfts- und Privatvermögen, Konten, Ausgaben und Verträge werden strikt getrennt.</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Vier-Augen-Prüfung bei Spezialrisiken  </w:t>
      </w:r>
      <w:r>
        <w:rPr>
          <w:rFonts w:ascii="Arial" w:hAnsi="Arial" w:eastAsia="Arial"/>
          <w:color w:val="243447"/>
          <w:sz w:val="19"/>
        </w:rPr>
        <w:t>Miet-, Bau-, Steuer-, Datenschutz- und haftungsrelevante Fragen erhalten eine dokumentierte Fachprüfung.</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Keine ungedeckte Vorleistung  </w:t>
      </w:r>
      <w:r>
        <w:rPr>
          <w:rFonts w:ascii="Arial" w:hAnsi="Arial" w:eastAsia="Arial"/>
          <w:color w:val="243447"/>
          <w:sz w:val="19"/>
        </w:rPr>
        <w:t>Projektstart und wesentliche Fremdbeauftragung setzen fällige Kundenzahlung oder gesicherte Finanzierung voraus.</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Liquiditätsfrühwarnung  </w:t>
      </w:r>
      <w:r>
        <w:rPr>
          <w:rFonts w:ascii="Arial" w:hAnsi="Arial" w:eastAsia="Arial"/>
          <w:color w:val="243447"/>
          <w:sz w:val="19"/>
        </w:rPr>
        <w:t>Zahlungsfähigkeit und Überschuldungsrisiken werden laufend überwacht; bei Krisenanzeichen wird unverzüglich fachlicher Rat eingeholt. [Q42]</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Gesellschaftergeschäfte dokumentieren  </w:t>
      </w:r>
      <w:r>
        <w:rPr>
          <w:rFonts w:ascii="Arial" w:hAnsi="Arial" w:eastAsia="Arial"/>
          <w:color w:val="243447"/>
          <w:sz w:val="19"/>
        </w:rPr>
        <w:t>Leistungen, Darlehen und Auslagen zwischen Gründer und Gesellschaft werden schriftlich, fremdüblich und steuerlich nachvollziehbar behandelt.</w:t>
      </w:r>
    </w:p>
    <w:p>
      <w:pPr>
        <w:pStyle w:val="Heading2"/>
        <w:keepNext/>
        <w:pBdr>
          <w:bottom w:val="single" w:sz="8" w:space="6" w:color="B08D57"/>
        </w:pBdr>
        <w:spacing w:after="50" w:before="100" w:line="240" w:lineRule="auto"/>
      </w:pPr>
      <w:r>
        <w:rPr>
          <w:rFonts w:ascii="Arial" w:hAnsi="Arial" w:eastAsia="Arial" w:cs="Arial"/>
          <w:b/>
          <w:color w:val="1E3A5F"/>
          <w:sz w:val="24"/>
        </w:rPr>
        <w:t>Organisationsmodell und Verantwortungsgrenzen</w:t>
      </w:r>
    </w:p>
    <w:p>
      <w:pPr>
        <w:pStyle w:val="BodyText"/>
        <w:spacing w:after="44" w:before="0" w:line="245" w:lineRule="auto"/>
        <w:jc w:val="both"/>
      </w:pPr>
      <w:r>
        <w:rPr>
          <w:rFonts w:ascii="Arial" w:hAnsi="Arial" w:eastAsia="Arial"/>
          <w:i w:val="0"/>
          <w:color w:val="243447"/>
          <w:sz w:val="19"/>
        </w:rPr>
        <w:t>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3100"/>
        <w:gridCol w:w="41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Startverantwortung</w:t>
            </w:r>
          </w:p>
        </w:tc>
        <w:tc>
          <w:tcPr>
            <w:tcW w:type="dxa" w:w="41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Grenze / externer Bedarf</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Geschäftsführung und Vertrieb</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Gründer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keine unautorisierten Abschlussvollmachten für Partner</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Projektleitung und Kundenreporting</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Gründer; später Projektleitung</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definierte Eskalationen bleiben bei Geschäftsführung</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Objektsuche und kaufmännische Prüfung</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AMAVIO + lokale Immobilienpartner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Rechts-, Bau- und Technikprüfung extern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Möblierung, Logistik und Handwerk</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AMAVIO steuert</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Ausführung, Gewährleistung und Arbeitsschutz beim Auftragnehmer</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Arrival und Bewohnerkommunikation</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AMAVIO-Standard + geschulte Vor-Ort-Partner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keine Rechts-, Anerkennungs- oder medizinische Beratung</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Finanzen, Steuern und Lohn</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Geschäftsführung + Steuerberatung</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Buchungs- und Abschlussprozesse fachlich begleitet</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Datenschutz und IT-Sicherheit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Geschäftsführung als Owner</w:t>
            </w:r>
          </w:p>
        </w:tc>
        <w:tc>
          <w:tcPr>
            <w:tcW w:type="dxa" w:w="4150"/>
            <w:tcMar>
              <w:top w:w="55" w:type="dxa"/>
              <w:start w:w="55" w:type="dxa"/>
              <w:bottom w:w="55" w:type="dxa"/>
              <w:end w:w="55" w:type="dxa"/>
            </w:tcMar>
          </w:tcPr>
          <w:p>
            <w:pPr>
              <w:spacing w:after="0" w:line="230" w:lineRule="auto" w:before="0"/>
            </w:pPr>
            <w:r>
              <w:rPr>
                <w:rFonts w:ascii="Arial" w:hAnsi="Arial" w:eastAsia="Arial"/>
                <w:color w:val="243447"/>
                <w:sz w:val="16"/>
              </w:rPr>
              <w:t>Verträge, Rollen und Spezialprüfung extern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Technologie / Welcome OS</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Prozess-Owner intern; Entwicklung später</w:t>
            </w:r>
          </w:p>
        </w:tc>
        <w:tc>
          <w:tcPr>
            <w:tcW w:type="dxa" w:w="4150"/>
            <w:shd w:fill="F8FAFC"/>
            <w:tcMar>
              <w:top w:w="55" w:type="dxa"/>
              <w:start w:w="55" w:type="dxa"/>
              <w:bottom w:w="55" w:type="dxa"/>
              <w:end w:w="55" w:type="dxa"/>
            </w:tcMar>
          </w:tcPr>
          <w:p>
            <w:pPr>
              <w:spacing w:after="0" w:line="230" w:lineRule="auto" w:before="0"/>
            </w:pPr>
            <w:r>
              <w:rPr>
                <w:rFonts w:ascii="Arial" w:hAnsi="Arial" w:eastAsia="Arial"/>
                <w:color w:val="243447"/>
                <w:sz w:val="16"/>
              </w:rPr>
              <w:t>keine Eigenentwicklung vor validierten Workflows und Budget</w:t>
            </w:r>
          </w:p>
        </w:tc>
      </w:tr>
    </w:tbl>
    <w:p>
      <w:pPr>
        <w:pStyle w:val="Heading3"/>
        <w:keepNext/>
        <w:spacing w:after="30" w:before="70" w:line="240" w:lineRule="auto"/>
      </w:pPr>
      <w:r>
        <w:rPr>
          <w:rFonts w:ascii="Arial" w:hAnsi="Arial" w:eastAsia="Arial" w:cs="Arial"/>
          <w:b/>
          <w:color w:val="102A43"/>
          <w:sz w:val="20"/>
        </w:rPr>
        <w:t>Partnerqualifizierung</w:t>
      </w:r>
    </w:p>
    <w:p>
      <w:pPr>
        <w:pStyle w:val="BodyText"/>
        <w:spacing w:after="44" w:before="0" w:line="245" w:lineRule="auto"/>
        <w:jc w:val="both"/>
      </w:pPr>
      <w:r>
        <w:rPr>
          <w:rFonts w:ascii="Arial" w:hAnsi="Arial" w:eastAsia="Arial"/>
          <w:i w:val="0"/>
          <w:color w:val="243447"/>
          <w:sz w:val="19"/>
        </w:rPr>
        <w:t>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200"/>
        <w:gridCol w:w="290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Partnergruppe</w:t>
            </w:r>
          </w:p>
        </w:tc>
        <w:tc>
          <w:tcPr>
            <w:tcW w:type="dxa" w:w="4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Kernprüfung</w:t>
            </w:r>
          </w:p>
        </w:tc>
        <w:tc>
          <w:tcPr>
            <w:tcW w:type="dxa" w:w="2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Einsatz</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Recht / Notariat / Steuer</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Zulassung, Spezialisierung und eindeutiges Mandat</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Satzung, Verträge, Steuerlogik, Jahresabschluss</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Architektur / Brandschutz / Technik</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Qualifikation, Haftpflicht und dokumentierbare Ergebnisse</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nur objekt- und genehmigungsbezogen</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Makler / Vermieter / Wohnungsunternehmen</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Mandat, Vergütung, Nutzung und Objektzugang</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Supply-Aufbau ohne unklare Doppelrolle</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Möbel / Handwerk / Logistik</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Preis, Termin, Gewährleistung und Ersatzfähigkeit</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bezugsfertige Übergabe</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Mehrsprachiger Support / Community</w:t>
            </w:r>
          </w:p>
        </w:tc>
        <w:tc>
          <w:tcPr>
            <w:tcW w:type="dxa" w:w="4200"/>
            <w:tcMar>
              <w:top w:w="55" w:type="dxa"/>
              <w:start w:w="55" w:type="dxa"/>
              <w:bottom w:w="55" w:type="dxa"/>
              <w:end w:w="55" w:type="dxa"/>
            </w:tcMar>
          </w:tcPr>
          <w:p>
            <w:pPr>
              <w:spacing w:after="0" w:line="230" w:lineRule="auto" w:before="0"/>
            </w:pPr>
            <w:r>
              <w:rPr>
                <w:rFonts w:ascii="Arial" w:hAnsi="Arial" w:eastAsia="Arial"/>
                <w:color w:val="243447"/>
                <w:sz w:val="16"/>
              </w:rPr>
              <w:t>Sprache, Eignung, Vertraulichkeit und Schutzkonzept</w:t>
            </w:r>
          </w:p>
        </w:tc>
        <w:tc>
          <w:tcPr>
            <w:tcW w:type="dxa" w:w="2900"/>
            <w:tcMar>
              <w:top w:w="55" w:type="dxa"/>
              <w:start w:w="55" w:type="dxa"/>
              <w:bottom w:w="55" w:type="dxa"/>
              <w:end w:w="55" w:type="dxa"/>
            </w:tcMar>
          </w:tcPr>
          <w:p>
            <w:pPr>
              <w:spacing w:after="0" w:line="230" w:lineRule="auto" w:before="0"/>
            </w:pPr>
            <w:r>
              <w:rPr>
                <w:rFonts w:ascii="Arial" w:hAnsi="Arial" w:eastAsia="Arial"/>
                <w:color w:val="243447"/>
                <w:sz w:val="16"/>
              </w:rPr>
              <w:t>projektbezogen nach Zielgruppe</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Software / IT</w:t>
            </w:r>
          </w:p>
        </w:tc>
        <w:tc>
          <w:tcPr>
            <w:tcW w:type="dxa" w:w="4200"/>
            <w:shd w:fill="F8FAFC"/>
            <w:tcMar>
              <w:top w:w="55" w:type="dxa"/>
              <w:start w:w="55" w:type="dxa"/>
              <w:bottom w:w="55" w:type="dxa"/>
              <w:end w:w="55" w:type="dxa"/>
            </w:tcMar>
          </w:tcPr>
          <w:p>
            <w:pPr>
              <w:spacing w:after="0" w:line="230" w:lineRule="auto" w:before="0"/>
            </w:pPr>
            <w:r>
              <w:rPr>
                <w:rFonts w:ascii="Arial" w:hAnsi="Arial" w:eastAsia="Arial"/>
                <w:color w:val="243447"/>
                <w:sz w:val="16"/>
              </w:rPr>
              <w:t>Datenschutz, Rollen, Export, Verfügbarkeit und Kosten</w:t>
            </w:r>
          </w:p>
        </w:tc>
        <w:tc>
          <w:tcPr>
            <w:tcW w:type="dxa" w:w="290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Standardsoftware vor Eigenentwicklung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Personalaufbau nach nachgewiesener Nachfrage</w:t>
      </w:r>
    </w:p>
    <w:p>
      <w:pPr>
        <w:pStyle w:val="BodyText"/>
        <w:spacing w:after="44" w:before="0" w:line="245" w:lineRule="auto"/>
        <w:jc w:val="both"/>
      </w:pPr>
      <w:r>
        <w:rPr>
          <w:rFonts w:ascii="Arial" w:hAnsi="Arial" w:eastAsia="Arial"/>
          <w:i w:val="0"/>
          <w:color w:val="243447"/>
          <w:sz w:val="19"/>
        </w:rPr>
        <w:t>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5000"/>
        <w:gridCol w:w="295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Stufe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Auslöser</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Rolle / Wirkung</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0 · Start</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bis zu 1 Launch + 1 Blueprint parallel</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Gründer führt; Fach- und Vor-Ort-Leistungen projektbezogen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1 · Projektassistenz</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wiederkehrender Auftragsbestand, &gt; 20 Std./Woche delegierbare Delivery und 6-Monats-Reserve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Dokumentation, Termine, Partner- und Einzugskoordination</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2 · Projektleitung</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zweiter paralleler Launch oder mehrere Standorte mit gesicherter Pipeline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übernimmt Standardprojekte; Gründer fokussiert Key Accounts und Freigaben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3 · Operations / Housing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wiederkehrender Objekt- oder Office-Betrieb mit planbarer Grundgebühr</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Servicefälle, Qualitätssteuerung, Objekt- und Bewohnerprozesse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4 · Finance / Administration</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Transaktionsvolumen und Berichtspflichten überschreiten externe/Gründer-Kapazität</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Forderungen, Belege, Projektcontrolling und Vertragsadministration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5 · Produkt / IT</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drei wiederkehrende Kundenworkflows und finanziertes MVP</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Produktisierung; keine Vorwegnahme einer unbewiesenen Plattform</w:t>
            </w:r>
          </w:p>
        </w:tc>
      </w:tr>
    </w:tbl>
    <w:p>
      <w:pPr>
        <w:pStyle w:val="Heading3"/>
        <w:keepNext/>
        <w:spacing w:after="30" w:before="70" w:line="240" w:lineRule="auto"/>
      </w:pPr>
      <w:r>
        <w:rPr>
          <w:rFonts w:ascii="Arial" w:hAnsi="Arial" w:eastAsia="Arial" w:cs="Arial"/>
          <w:b/>
          <w:color w:val="102A43"/>
          <w:sz w:val="20"/>
        </w:rPr>
        <w:t>Rollenprofil der ersten Einstellung</w:t>
      </w:r>
    </w:p>
    <w:p>
      <w:pPr>
        <w:pStyle w:val="BodyText"/>
        <w:spacing w:after="44" w:before="0" w:line="245" w:lineRule="auto"/>
        <w:jc w:val="both"/>
      </w:pPr>
      <w:r>
        <w:rPr>
          <w:rFonts w:ascii="Arial" w:hAnsi="Arial" w:eastAsia="Arial"/>
          <w:i w:val="0"/>
          <w:color w:val="243447"/>
          <w:sz w:val="19"/>
        </w:rPr>
        <w:t>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EINSTELLUNGSREGEL  </w:t>
      </w:r>
      <w:r>
        <w:rPr>
          <w:rFonts w:ascii="Arial" w:hAnsi="Arial" w:eastAsia="Arial"/>
          <w:color w:val="243447"/>
          <w:sz w:val="19"/>
        </w:rPr>
        <w:t>Eine neue Rolle muss entweder abrechenbare Kapazität schaffen, eine nachweisbare Qualitäts- oder Risikolücke schließen oder den Gründer für höherwertigen Vertrieb und Projektführung freisetzen. Reines Wachstum der Kopfzahl ist kein Meilenstein.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350"/>
        <w:gridCol w:w="3650"/>
        <w:gridCol w:w="3750"/>
      </w:tblGrid>
      <w:tr>
        <w:trPr>
          <w:tblHeader/>
        </w:trPr>
        <w:tc>
          <w:tcPr>
            <w:tcW w:type="dxa" w:w="2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3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Auswirkung</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Gegenmaßnahme</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Gründerabhängigkeit</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Vertrieb, Wissen und Freigaben konzentrieren sich auf eine Person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CRM, Prozessakten, Vertretungsplan, standardisierte Angebote und Übergaben</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Partnerausfall</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Technik oder Liefertermin gefährdet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Ersatzpartner, klare SLAs, Meilensteinzahlungen und Eskalation</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Scope Creep</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unbezahlte Arbeit und Kapazitätsverlust</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Leistungsgrenzen, Stundenbudget und verpflichtender Change Request</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Fachliche Grenzüberschreitung</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Haftung und Vertrauensverlust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Befugnisse klar benennen; Spezialfragen extern mandatieren</w:t>
            </w:r>
          </w:p>
        </w:tc>
      </w:tr>
      <w:tr>
        <w:trPr>
          <w:cantSplit/>
        </w:trPr>
        <w:tc>
          <w:tcPr>
            <w:tcW w:type="dxa" w:w="2350"/>
            <w:tcMar>
              <w:top w:w="55" w:type="dxa"/>
              <w:start w:w="55" w:type="dxa"/>
              <w:bottom w:w="55" w:type="dxa"/>
              <w:end w:w="55" w:type="dxa"/>
            </w:tcMar>
          </w:tcPr>
          <w:p>
            <w:pPr>
              <w:spacing w:after="0" w:line="230" w:lineRule="auto" w:before="0"/>
            </w:pPr>
            <w:r>
              <w:rPr>
                <w:rFonts w:ascii="Arial" w:hAnsi="Arial" w:eastAsia="Arial"/>
                <w:color w:val="243447"/>
                <w:sz w:val="16"/>
              </w:rPr>
              <w:t>Zu früher Personalaufbau</w:t>
            </w:r>
          </w:p>
        </w:tc>
        <w:tc>
          <w:tcPr>
            <w:tcW w:type="dxa" w:w="3650"/>
            <w:tcMar>
              <w:top w:w="55" w:type="dxa"/>
              <w:start w:w="55" w:type="dxa"/>
              <w:bottom w:w="55" w:type="dxa"/>
              <w:end w:w="55" w:type="dxa"/>
            </w:tcMar>
          </w:tcPr>
          <w:p>
            <w:pPr>
              <w:spacing w:after="0" w:line="230" w:lineRule="auto" w:before="0"/>
            </w:pPr>
            <w:r>
              <w:rPr>
                <w:rFonts w:ascii="Arial" w:hAnsi="Arial" w:eastAsia="Arial"/>
                <w:color w:val="243447"/>
                <w:sz w:val="16"/>
              </w:rPr>
              <w:t>Fixkosten ohne gesicherten Umsatz</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Pipeline-, Reserve- und Delegierbarkeits-Gate</w:t>
            </w:r>
          </w:p>
        </w:tc>
      </w:tr>
      <w:tr>
        <w:trPr>
          <w:cantSplit/>
        </w:trPr>
        <w:tc>
          <w:tcPr>
            <w:tcW w:type="dxa" w:w="2350"/>
            <w:shd w:fill="F8FAFC"/>
            <w:tcMar>
              <w:top w:w="55" w:type="dxa"/>
              <w:start w:w="55" w:type="dxa"/>
              <w:bottom w:w="55" w:type="dxa"/>
              <w:end w:w="55" w:type="dxa"/>
            </w:tcMar>
          </w:tcPr>
          <w:p>
            <w:pPr>
              <w:spacing w:after="0" w:line="230" w:lineRule="auto" w:before="0"/>
            </w:pPr>
            <w:r>
              <w:rPr>
                <w:rFonts w:ascii="Arial" w:hAnsi="Arial" w:eastAsia="Arial"/>
                <w:color w:val="243447"/>
                <w:sz w:val="16"/>
              </w:rPr>
              <w:t>Zu früher Objektbetrieb</w:t>
            </w:r>
          </w:p>
        </w:tc>
        <w:tc>
          <w:tcPr>
            <w:tcW w:type="dxa" w:w="3650"/>
            <w:shd w:fill="F8FAFC"/>
            <w:tcMar>
              <w:top w:w="55" w:type="dxa"/>
              <w:start w:w="55" w:type="dxa"/>
              <w:bottom w:w="55" w:type="dxa"/>
              <w:end w:w="55" w:type="dxa"/>
            </w:tcMar>
          </w:tcPr>
          <w:p>
            <w:pPr>
              <w:spacing w:after="0" w:line="230" w:lineRule="auto" w:before="0"/>
            </w:pPr>
            <w:r>
              <w:rPr>
                <w:rFonts w:ascii="Arial" w:hAnsi="Arial" w:eastAsia="Arial"/>
                <w:color w:val="243447"/>
                <w:sz w:val="16"/>
              </w:rPr>
              <w:t>Miet-, Kautions- und Leerstandsrisiko</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separates Nachfrage-, Rechts-, Finanzierungs- und Stress-Gate</w:t>
            </w:r>
          </w:p>
        </w:tc>
      </w:tr>
    </w:tbl>
    <w:p>
      <w:pPr>
        <w:pStyle w:val="Heading1"/>
        <w:keepNext/>
        <w:spacing w:before="140" w:after="80" w:line="240" w:lineRule="auto"/>
        <w:pBdr>
          <w:bottom w:val="single" w:sz="8" w:space="6" w:color="B08D57"/>
        </w:pBdr>
      </w:pPr>
      <w:r>
        <w:rPr>
          <w:rFonts w:ascii="Arial" w:hAnsi="Arial" w:eastAsia="Arial" w:cs="Arial"/>
          <w:b/>
          <w:color w:val="102A43"/>
          <w:sz w:val="32"/>
        </w:rPr>
        <w:t>8. Erlösmodell, Preisstrategie und Wirtschaftlichkeit</w:t>
      </w:r>
    </w:p>
    <w:p>
      <w:pPr>
        <w:pStyle w:val="Heading2"/>
        <w:keepNext/>
        <w:pBdr>
          <w:bottom w:val="single" w:sz="8" w:space="6" w:color="B08D57"/>
        </w:pBdr>
        <w:spacing w:after="50" w:before="100" w:line="240" w:lineRule="auto"/>
      </w:pPr>
      <w:r>
        <w:rPr>
          <w:rFonts w:ascii="Arial" w:hAnsi="Arial" w:eastAsia="Arial" w:cs="Arial"/>
          <w:b/>
          <w:color w:val="1E3A5F"/>
          <w:sz w:val="24"/>
        </w:rPr>
        <w:t>Erlösarchitektur: Projektgeschäft zuerst</w:t>
      </w:r>
    </w:p>
    <w:p>
      <w:pPr>
        <w:pStyle w:val="BodyText"/>
        <w:spacing w:after="44" w:before="0" w:line="245" w:lineRule="auto"/>
        <w:jc w:val="both"/>
      </w:pPr>
      <w:r>
        <w:rPr>
          <w:rFonts w:ascii="Arial" w:hAnsi="Arial" w:eastAsia="Arial"/>
          <w:i w:val="0"/>
          <w:color w:val="243447"/>
          <w:sz w:val="19"/>
        </w:rPr>
        <w:t>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50"/>
        <w:gridCol w:w="3850"/>
        <w:gridCol w:w="3350"/>
      </w:tblGrid>
      <w:tr>
        <w:trPr>
          <w:tblHeader/>
        </w:trPr>
        <w:tc>
          <w:tcPr>
            <w:tcW w:type="dxa" w:w="2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Erlösstrom</w:t>
            </w:r>
          </w:p>
        </w:tc>
        <w:tc>
          <w:tcPr>
            <w:tcW w:type="dxa" w:w="3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Abrechnung</w:t>
            </w:r>
          </w:p>
        </w:tc>
        <w:tc>
          <w:tcPr>
            <w:tcW w:type="dxa" w:w="33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Wirtschaftliche Funktion</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Festpreis nach Standorten, Varianten und Entscheidungsumfang</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früher Cashflow und bezahlte Machbarkeitsentscheidung</w:t>
            </w:r>
          </w:p>
        </w:tc>
      </w:tr>
      <w:tr>
        <w:trPr>
          <w:cantSplit/>
        </w:trPr>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Festpreis mit Meilensteinen; Fremdkosten getrennt</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Umsetzungserlös aus Projektleitung, Supply und Bezugsfertigkeit</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Setup + monatliche Grundgebühr + definierte Mengentreiber</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wiederkehrender Umsatz und planbare Kundenbindung</w:t>
            </w:r>
          </w:p>
        </w:tc>
      </w:tr>
      <w:tr>
        <w:trPr>
          <w:cantSplit/>
        </w:trPr>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Zusatzmodule</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separater Festpreis, Tagessatz oder Stückpreis</w:t>
            </w:r>
          </w:p>
        </w:tc>
        <w:tc>
          <w:tcPr>
            <w:tcW w:type="dxa" w:w="3350"/>
            <w:shd w:fill="F8FAFC"/>
            <w:tcMar>
              <w:top w:w="55" w:type="dxa"/>
              <w:start w:w="55" w:type="dxa"/>
              <w:bottom w:w="55" w:type="dxa"/>
              <w:end w:w="55" w:type="dxa"/>
            </w:tcMar>
          </w:tcPr>
          <w:p>
            <w:pPr>
              <w:spacing w:after="0" w:line="230" w:lineRule="auto" w:before="0"/>
            </w:pPr>
            <w:r>
              <w:rPr>
                <w:rFonts w:ascii="Arial" w:hAnsi="Arial" w:eastAsia="Arial"/>
                <w:color w:val="243447"/>
                <w:sz w:val="16"/>
              </w:rPr>
              <w:t>nur bei klarem Zusatznutzen und eigener Leistungsbeschreibung</w:t>
            </w:r>
          </w:p>
        </w:tc>
      </w:tr>
      <w:tr>
        <w:trPr>
          <w:cantSplit/>
        </w:trPr>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Objektbetrieb später</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Miet-/Nutzungsentgelt und ggf. B2B-Service</w:t>
            </w:r>
          </w:p>
        </w:tc>
        <w:tc>
          <w:tcPr>
            <w:tcW w:type="dxa" w:w="3350"/>
            <w:tcMar>
              <w:top w:w="55" w:type="dxa"/>
              <w:start w:w="55" w:type="dxa"/>
              <w:bottom w:w="55" w:type="dxa"/>
              <w:end w:w="55" w:type="dxa"/>
            </w:tcMar>
          </w:tcPr>
          <w:p>
            <w:pPr>
              <w:spacing w:after="0" w:line="230" w:lineRule="auto" w:before="0"/>
            </w:pPr>
            <w:r>
              <w:rPr>
                <w:rFonts w:ascii="Arial" w:hAnsi="Arial" w:eastAsia="Arial"/>
                <w:color w:val="243447"/>
                <w:sz w:val="16"/>
              </w:rPr>
              <w:t>skalierbarer, aber kapital- und risikointensiver Umsatz</w:t>
            </w:r>
          </w:p>
        </w:tc>
      </w:tr>
    </w:tbl>
    <w:p>
      <w:pPr>
        <w:pStyle w:val="Heading2"/>
        <w:keepNext/>
        <w:pBdr>
          <w:bottom w:val="single" w:sz="8" w:space="6" w:color="B08D57"/>
        </w:pBdr>
        <w:spacing w:after="50" w:before="100" w:line="240" w:lineRule="auto"/>
      </w:pPr>
      <w:r>
        <w:rPr>
          <w:rFonts w:ascii="Arial" w:hAnsi="Arial" w:eastAsia="Arial" w:cs="Arial"/>
          <w:b/>
          <w:color w:val="1E3A5F"/>
          <w:sz w:val="24"/>
        </w:rPr>
        <w:t>Preisbildung und interne Kalkulationslogik</w:t>
      </w:r>
    </w:p>
    <w:p>
      <w:pPr>
        <w:pStyle w:val="BodyText"/>
        <w:spacing w:after="44" w:before="0" w:line="245" w:lineRule="auto"/>
        <w:jc w:val="both"/>
      </w:pPr>
      <w:r>
        <w:rPr>
          <w:rFonts w:ascii="Arial" w:hAnsi="Arial" w:eastAsia="Arial"/>
          <w:i w:val="0"/>
          <w:color w:val="243447"/>
          <w:sz w:val="19"/>
        </w:rPr>
        <w:t>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p>
      <w:pPr>
        <w:spacing w:before="0" w:after="44" w:line="245" w:lineRule="auto"/>
        <w:shd w:fill="EEF3F7"/>
        <w:pBdr>
          <w:left w:val="single" w:sz="18" w:space="10" w:color="1E3A5F"/>
        </w:pBdr>
        <w:ind w:left="180" w:right="120"/>
      </w:pPr>
      <w:r>
        <w:rPr>
          <w:rFonts w:ascii="Arial" w:hAnsi="Arial" w:eastAsia="Arial"/>
          <w:b/>
          <w:color w:val="1E3A5F"/>
          <w:sz w:val="19"/>
        </w:rPr>
        <w:t xml:space="preserve">KALKULATIONSFORMEL  </w:t>
      </w:r>
      <w:r>
        <w:rPr>
          <w:rFonts w:ascii="Arial" w:hAnsi="Arial" w:eastAsia="Arial"/>
          <w:color w:val="243447"/>
          <w:sz w:val="19"/>
        </w:rPr>
        <w:t>Angebotspreis = abrechenbare interne Zeit × Verrechnungssatz + nicht weiterberechnete Direktkosten + Komplexitäts-/Risikopuffer. Durchlaufende Fremdkosten werden grundsätzlich separat ausgewiesen und nicht als eigener Umsatzvorteil behandelt.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2800"/>
        <w:gridCol w:w="4250"/>
      </w:tblGrid>
      <w:tr>
        <w:trPr>
          <w:tblHeader/>
        </w:trPr>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2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Preisrahmen netto</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Interne Plausibilitätsregel</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800"/>
            <w:tcMar>
              <w:top w:w="55" w:type="dxa"/>
              <w:start w:w="55" w:type="dxa"/>
              <w:bottom w:w="55" w:type="dxa"/>
              <w:end w:w="55" w:type="dxa"/>
            </w:tcMar>
          </w:tcPr>
          <w:p>
            <w:pPr>
              <w:spacing w:after="0" w:before="0" w:line="230" w:lineRule="auto"/>
            </w:pPr>
            <w:r>
              <w:rPr>
                <w:sz w:val="16"/>
              </w:rPr>
              <w:t>Pilot ab 12.500 EUR; Standard 21.000–22.500 EUR</w:t>
            </w:r>
          </w:p>
        </w:tc>
        <w:tc>
          <w:tcPr>
            <w:tcW w:type="dxa" w:w="4250"/>
            <w:tcMar>
              <w:top w:w="55" w:type="dxa"/>
              <w:start w:w="55" w:type="dxa"/>
              <w:bottom w:w="55" w:type="dxa"/>
              <w:end w:w="55" w:type="dxa"/>
            </w:tcMar>
          </w:tcPr>
          <w:p>
            <w:pPr>
              <w:spacing w:after="0" w:before="0" w:line="230" w:lineRule="auto"/>
            </w:pPr>
            <w:r>
              <w:rPr>
                <w:sz w:val="16"/>
              </w:rPr>
              <w:t>Pilot nur mit begrenztem Ergebnis- und Stundenumfang; Standard 120–190 Std.</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800"/>
            <w:shd w:fill="F8FAFC"/>
            <w:tcMar>
              <w:top w:w="55" w:type="dxa"/>
              <w:start w:w="55" w:type="dxa"/>
              <w:bottom w:w="55" w:type="dxa"/>
              <w:end w:w="55" w:type="dxa"/>
            </w:tcMar>
          </w:tcPr>
          <w:p>
            <w:pPr>
              <w:spacing w:after="0" w:before="0" w:line="230" w:lineRule="auto"/>
            </w:pPr>
            <w:r>
              <w:rPr>
                <w:sz w:val="16"/>
              </w:rPr>
              <w:t>Pilot ab 28.000 EUR; Standard 33.750–65.000 EUR zzgl. Fremdkosten</w:t>
            </w:r>
          </w:p>
        </w:tc>
        <w:tc>
          <w:tcPr>
            <w:tcW w:type="dxa" w:w="4250"/>
            <w:shd w:fill="F8FAFC"/>
            <w:tcMar>
              <w:top w:w="55" w:type="dxa"/>
              <w:start w:w="55" w:type="dxa"/>
              <w:bottom w:w="55" w:type="dxa"/>
              <w:end w:w="55" w:type="dxa"/>
            </w:tcMar>
          </w:tcPr>
          <w:p>
            <w:pPr>
              <w:spacing w:after="0" w:before="0" w:line="230" w:lineRule="auto"/>
            </w:pPr>
            <w:r>
              <w:rPr>
                <w:sz w:val="16"/>
              </w:rPr>
              <w:t>Pilot unter 300 Std.; Standard ab 300 Std. mit mindestens 900 EUR je Acht-Stunden-Tag</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2800"/>
            <w:tcMar>
              <w:top w:w="55" w:type="dxa"/>
              <w:start w:w="55" w:type="dxa"/>
              <w:bottom w:w="55" w:type="dxa"/>
              <w:end w:w="55" w:type="dxa"/>
            </w:tcMar>
          </w:tcPr>
          <w:p>
            <w:pPr>
              <w:spacing w:after="0" w:before="0" w:line="230" w:lineRule="auto"/>
            </w:pPr>
            <w:r>
              <w:rPr>
                <w:sz w:val="16"/>
              </w:rPr>
              <w:t>Reduziertes Setup ab 15.000 EUR; Standard 20.250–33.750 EUR + Monatsentgelt</w:t>
            </w:r>
          </w:p>
        </w:tc>
        <w:tc>
          <w:tcPr>
            <w:tcW w:type="dxa" w:w="4250"/>
            <w:tcMar>
              <w:top w:w="55" w:type="dxa"/>
              <w:start w:w="55" w:type="dxa"/>
              <w:bottom w:w="55" w:type="dxa"/>
              <w:end w:w="55" w:type="dxa"/>
            </w:tcMar>
          </w:tcPr>
          <w:p>
            <w:pPr>
              <w:spacing w:after="0" w:before="0" w:line="230" w:lineRule="auto"/>
            </w:pPr>
            <w:r>
              <w:rPr>
                <w:sz w:val="16"/>
              </w:rPr>
              <w:t>Reduzierter Scope bis ca. 130 Std.; Standard 180–300 Std.; laufend nach Volumen und SLA</w:t>
            </w:r>
          </w:p>
        </w:tc>
      </w:tr>
    </w:tbl>
    <w:p>
      <w:pPr>
        <w:pStyle w:val="BodyText"/>
        <w:spacing w:after="44" w:before="0" w:line="245" w:lineRule="auto"/>
        <w:jc w:val="both"/>
      </w:pPr>
      <w:r>
        <w:rPr>
          <w:rFonts w:ascii="Arial" w:hAnsi="Arial" w:eastAsia="Arial"/>
          <w:i w:val="0"/>
          <w:color w:val="243447"/>
          <w:sz w:val="19"/>
        </w:rPr>
        <w:t>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pPr>
        <w:pStyle w:val="Heading3"/>
        <w:keepNext/>
        <w:spacing w:after="30" w:before="70" w:line="240" w:lineRule="auto"/>
      </w:pPr>
      <w:r>
        <w:rPr>
          <w:rFonts w:ascii="Arial" w:hAnsi="Arial" w:eastAsia="Arial" w:cs="Arial"/>
          <w:b/>
          <w:color w:val="102A43"/>
          <w:sz w:val="20"/>
        </w:rPr>
        <w:t>Preis-Gates vor Angebotsfreigabe</w:t>
      </w:r>
    </w:p>
    <w:p>
      <w:pPr>
        <w:spacing w:before="0" w:after="44" w:line="245" w:lineRule="auto"/>
        <w:ind w:left="0"/>
      </w:pPr>
      <w:r>
        <w:rPr>
          <w:rFonts w:ascii="Arial" w:hAnsi="Arial" w:eastAsia="Arial"/>
          <w:b/>
          <w:color w:val="B08D57"/>
          <w:sz w:val="19"/>
        </w:rPr>
        <w:t xml:space="preserve">01  </w:t>
      </w:r>
      <w:r>
        <w:rPr>
          <w:rFonts w:ascii="Arial" w:hAnsi="Arial" w:eastAsia="Arial"/>
          <w:b/>
          <w:color w:val="102A43"/>
          <w:sz w:val="19"/>
        </w:rPr>
        <w:t xml:space="preserve">Scope-Gate  </w:t>
      </w:r>
      <w:r>
        <w:rPr>
          <w:rFonts w:ascii="Arial" w:hAnsi="Arial" w:eastAsia="Arial"/>
          <w:color w:val="243447"/>
          <w:sz w:val="19"/>
        </w:rPr>
        <w:t>Ergebnisse, Standorte, Personenvolumen, Revisionen, SLA, Ausschlüsse und Mitwirkung sind messbar beschrieben.</w:t>
      </w:r>
    </w:p>
    <w:p>
      <w:pPr>
        <w:spacing w:before="0" w:after="44" w:line="245" w:lineRule="auto"/>
        <w:ind w:left="0"/>
      </w:pPr>
      <w:r>
        <w:rPr>
          <w:rFonts w:ascii="Arial" w:hAnsi="Arial" w:eastAsia="Arial"/>
          <w:b/>
          <w:color w:val="B08D57"/>
          <w:sz w:val="19"/>
        </w:rPr>
        <w:t xml:space="preserve">02  </w:t>
      </w:r>
      <w:r>
        <w:rPr>
          <w:rFonts w:ascii="Arial" w:hAnsi="Arial" w:eastAsia="Arial"/>
          <w:b/>
          <w:color w:val="102A43"/>
          <w:sz w:val="19"/>
        </w:rPr>
        <w:t xml:space="preserve">Zeit-Gate  </w:t>
      </w:r>
      <w:r>
        <w:rPr>
          <w:rFonts w:ascii="Arial" w:hAnsi="Arial" w:eastAsia="Arial"/>
          <w:color w:val="243447"/>
          <w:sz w:val="19"/>
        </w:rPr>
        <w:t>Jede Leistungsposition besitzt ein Stundenbudget; mindestens 10 bis 15 Prozent Reserve werden nur bei realer Unsicherheit angesetzt.</w:t>
      </w:r>
    </w:p>
    <w:p>
      <w:pPr>
        <w:spacing w:before="0" w:after="44" w:line="245" w:lineRule="auto"/>
        <w:ind w:left="0"/>
      </w:pPr>
      <w:r>
        <w:rPr>
          <w:rFonts w:ascii="Arial" w:hAnsi="Arial" w:eastAsia="Arial"/>
          <w:b/>
          <w:color w:val="B08D57"/>
          <w:sz w:val="19"/>
        </w:rPr>
        <w:t xml:space="preserve">03  </w:t>
      </w:r>
      <w:r>
        <w:rPr>
          <w:rFonts w:ascii="Arial" w:hAnsi="Arial" w:eastAsia="Arial"/>
          <w:b/>
          <w:color w:val="102A43"/>
          <w:sz w:val="19"/>
        </w:rPr>
        <w:t xml:space="preserve">Kosten-Gate  </w:t>
      </w:r>
      <w:r>
        <w:rPr>
          <w:rFonts w:ascii="Arial" w:hAnsi="Arial" w:eastAsia="Arial"/>
          <w:color w:val="243447"/>
          <w:sz w:val="19"/>
        </w:rPr>
        <w:t>Externe Kosten sind Angebot, Kostendach oder freizugebender Durchlaufposten; verdeckte Vorfinanzierung wird ausgeschlossen.</w:t>
      </w:r>
    </w:p>
    <w:p>
      <w:pPr>
        <w:spacing w:before="0" w:after="44" w:line="245" w:lineRule="auto"/>
        <w:ind w:left="0"/>
      </w:pPr>
      <w:r>
        <w:rPr>
          <w:rFonts w:ascii="Arial" w:hAnsi="Arial" w:eastAsia="Arial"/>
          <w:b/>
          <w:color w:val="B08D57"/>
          <w:sz w:val="19"/>
        </w:rPr>
        <w:t xml:space="preserve">04  </w:t>
      </w:r>
      <w:r>
        <w:rPr>
          <w:rFonts w:ascii="Arial" w:hAnsi="Arial" w:eastAsia="Arial"/>
          <w:b/>
          <w:color w:val="102A43"/>
          <w:sz w:val="19"/>
        </w:rPr>
        <w:t xml:space="preserve">Kapazitäts-Gate  </w:t>
      </w:r>
      <w:r>
        <w:rPr>
          <w:rFonts w:ascii="Arial" w:hAnsi="Arial" w:eastAsia="Arial"/>
          <w:color w:val="243447"/>
          <w:sz w:val="19"/>
        </w:rPr>
        <w:t>Der Auftrag passt in die 70-Prozent-Planungsgrenze und gefährdet weder laufende Projekte noch Vertrieb.</w:t>
      </w:r>
    </w:p>
    <w:p>
      <w:pPr>
        <w:spacing w:before="0" w:after="44" w:line="245" w:lineRule="auto"/>
        <w:ind w:left="0"/>
      </w:pPr>
      <w:r>
        <w:rPr>
          <w:rFonts w:ascii="Arial" w:hAnsi="Arial" w:eastAsia="Arial"/>
          <w:b/>
          <w:color w:val="B08D57"/>
          <w:sz w:val="19"/>
        </w:rPr>
        <w:t xml:space="preserve">05  </w:t>
      </w:r>
      <w:r>
        <w:rPr>
          <w:rFonts w:ascii="Arial" w:hAnsi="Arial" w:eastAsia="Arial"/>
          <w:b/>
          <w:color w:val="102A43"/>
          <w:sz w:val="19"/>
        </w:rPr>
        <w:t xml:space="preserve">Ergebnis-Gate  </w:t>
      </w:r>
      <w:r>
        <w:rPr>
          <w:rFonts w:ascii="Arial" w:hAnsi="Arial" w:eastAsia="Arial"/>
          <w:color w:val="243447"/>
          <w:sz w:val="19"/>
        </w:rPr>
        <w:t>Der kalkulierte Preis deckt Zeit, direkte Kosten und Unternehmensbeitrag; andernfalls werden Scope, Termin oder Preis angepasst.</w:t>
      </w:r>
    </w:p>
    <w:p>
      <w:pPr>
        <w:pStyle w:val="Heading2"/>
        <w:keepNext/>
        <w:pBdr>
          <w:bottom w:val="single" w:sz="8" w:space="6" w:color="B08D57"/>
        </w:pBdr>
        <w:spacing w:after="50" w:before="100" w:line="240" w:lineRule="auto"/>
      </w:pPr>
      <w:r>
        <w:rPr>
          <w:rFonts w:ascii="Arial" w:hAnsi="Arial" w:eastAsia="Arial" w:cs="Arial"/>
          <w:b/>
          <w:color w:val="1E3A5F"/>
          <w:sz w:val="24"/>
        </w:rPr>
        <w:t>Zahlungsmodell und Liquiditätsschutz</w:t>
      </w:r>
    </w:p>
    <w:p>
      <w:pPr>
        <w:pStyle w:val="BodyText"/>
        <w:spacing w:after="44" w:before="0" w:line="245" w:lineRule="auto"/>
        <w:jc w:val="both"/>
      </w:pPr>
      <w:r>
        <w:rPr>
          <w:rFonts w:ascii="Arial" w:hAnsi="Arial" w:eastAsia="Arial"/>
          <w:i w:val="0"/>
          <w:color w:val="243447"/>
          <w:sz w:val="19"/>
        </w:rPr>
        <w:t>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100"/>
        <w:gridCol w:w="4700"/>
        <w:gridCol w:w="2950"/>
      </w:tblGrid>
      <w:tr>
        <w:trPr>
          <w:tblHeader/>
        </w:trPr>
        <w:tc>
          <w:tcPr>
            <w:tcW w:type="dxa" w:w="2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Paket</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Empfohlener Zahlungsplan</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Logik</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40 % bei Auftrag · 40 % nach Analyse/Optionen · 20 % bei Übergabe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kurze Laufzeit; wesentliche Analyse vorfinanziert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30 % Auftrag · 30 % Such-/Konzeptfreigabe · 30 % vor Realisierung · 10 % Abnahme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Cash folgt den vier risikorelevanten Projektstufen</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Office Setup</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50 % Auftrag · 30 % System-/Prozessfreigabe · 20 % Go-live</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Setup-Kapazität wird nicht aus Monatsgebühren vorfinanziert</w:t>
            </w:r>
          </w:p>
        </w:tc>
      </w:tr>
      <w:tr>
        <w:trPr>
          <w:cantSplit/>
        </w:trPr>
        <w:tc>
          <w:tcPr>
            <w:tcW w:type="dxa" w:w="2100"/>
            <w:shd w:fill="F8FAFC"/>
            <w:tcMar>
              <w:top w:w="55" w:type="dxa"/>
              <w:start w:w="55" w:type="dxa"/>
              <w:bottom w:w="55" w:type="dxa"/>
              <w:end w:w="55" w:type="dxa"/>
            </w:tcMar>
          </w:tcPr>
          <w:p>
            <w:pPr>
              <w:spacing w:after="0" w:line="230" w:lineRule="auto" w:before="0"/>
            </w:pPr>
            <w:r>
              <w:rPr>
                <w:rFonts w:ascii="Arial" w:hAnsi="Arial" w:eastAsia="Arial"/>
                <w:color w:val="243447"/>
                <w:sz w:val="16"/>
              </w:rPr>
              <w:t>Office laufend</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monatliche Grundgebühr im Voraus; Mehrmengen monatlich nachlaufend</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planbare Kapazität und transparente Volumentreiber</w:t>
            </w:r>
          </w:p>
        </w:tc>
      </w:tr>
      <w:tr>
        <w:trPr>
          <w:cantSplit/>
        </w:trPr>
        <w:tc>
          <w:tcPr>
            <w:tcW w:type="dxa" w:w="2100"/>
            <w:tcMar>
              <w:top w:w="55" w:type="dxa"/>
              <w:start w:w="55" w:type="dxa"/>
              <w:bottom w:w="55" w:type="dxa"/>
              <w:end w:w="55" w:type="dxa"/>
            </w:tcMar>
          </w:tcPr>
          <w:p>
            <w:pPr>
              <w:spacing w:after="0" w:line="230" w:lineRule="auto" w:before="0"/>
            </w:pPr>
            <w:r>
              <w:rPr>
                <w:rFonts w:ascii="Arial" w:hAnsi="Arial" w:eastAsia="Arial"/>
                <w:color w:val="243447"/>
                <w:sz w:val="16"/>
              </w:rPr>
              <w:t>Fremdkosten</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Kunde direkt oder AMAVIO nur nach Vorauszahlung</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kein ungedecktes Lieferanten-, Miet- oder Kautionsrisiko</w:t>
            </w:r>
          </w:p>
        </w:tc>
      </w:tr>
    </w:tbl>
    <w:p>
      <w:pPr>
        <w:pStyle w:val="BodyText"/>
        <w:spacing w:after="44" w:before="0" w:line="245" w:lineRule="auto"/>
        <w:jc w:val="both"/>
      </w:pPr>
      <w:r>
        <w:rPr>
          <w:rFonts w:ascii="Arial" w:hAnsi="Arial" w:eastAsia="Arial"/>
          <w:i w:val="0"/>
          <w:color w:val="243447"/>
          <w:sz w:val="19"/>
        </w:rPr>
        <w:t>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pPr>
        <w:pStyle w:val="Heading2"/>
        <w:keepNext/>
        <w:pBdr>
          <w:bottom w:val="single" w:sz="8" w:space="6" w:color="B08D57"/>
        </w:pBdr>
        <w:spacing w:after="50" w:before="100" w:line="240" w:lineRule="auto"/>
      </w:pPr>
      <w:r>
        <w:rPr>
          <w:rFonts w:ascii="Arial" w:hAnsi="Arial" w:eastAsia="Arial" w:cs="Arial"/>
          <w:b/>
          <w:color w:val="1E3A5F"/>
          <w:sz w:val="24"/>
        </w:rPr>
        <w:t>Kapazität, Umsatzgrenze und Break-even-Logik</w:t>
      </w:r>
    </w:p>
    <w:p>
      <w:pPr>
        <w:pStyle w:val="BodyText"/>
        <w:spacing w:after="44" w:before="0" w:line="245" w:lineRule="auto"/>
        <w:jc w:val="both"/>
      </w:pPr>
      <w:r>
        <w:rPr>
          <w:rFonts w:ascii="Arial" w:hAnsi="Arial" w:eastAsia="Arial"/>
          <w:i w:val="0"/>
          <w:color w:val="243447"/>
          <w:sz w:val="19"/>
        </w:rPr>
        <w:t>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750"/>
        <w:gridCol w:w="355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Steuerungsgröße</w:t>
            </w:r>
          </w:p>
        </w:tc>
        <w:tc>
          <w:tcPr>
            <w:tcW w:type="dxa" w:w="3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Formel</w:t>
            </w:r>
          </w:p>
        </w:tc>
        <w:tc>
          <w:tcPr>
            <w:tcW w:type="dxa" w:w="3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Managementregel</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Effektiver Tagessatz</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Nettohonorar ÷ tatsächlich geleistete Projekttage</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nach jedem Meilenstein und Projekt prüfen</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Cash-Deckungsbeitrag</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Nettohonorar − direkt zurechenbare externe Cash-Kosten</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muss Fixkosten, Gründerbedarf, Steuern und Reserve tragen</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Projektabweichung</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(Ist-Stunden − Planstunden) ÷ Planstunden</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ab +10 % Ursachenanalyse; weiterer Aufwand nur via Change oder Managemententscheidung</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Forderungslaufzeit</w:t>
            </w:r>
          </w:p>
        </w:tc>
        <w:tc>
          <w:tcPr>
            <w:tcW w:type="dxa" w:w="3750"/>
            <w:shd w:fill="F8FAFC"/>
            <w:tcMar>
              <w:top w:w="55" w:type="dxa"/>
              <w:start w:w="55" w:type="dxa"/>
              <w:bottom w:w="55" w:type="dxa"/>
              <w:end w:w="55" w:type="dxa"/>
            </w:tcMar>
          </w:tcPr>
          <w:p>
            <w:pPr>
              <w:spacing w:after="0" w:line="230" w:lineRule="auto" w:before="0"/>
            </w:pPr>
            <w:r>
              <w:rPr>
                <w:rFonts w:ascii="Arial" w:hAnsi="Arial" w:eastAsia="Arial"/>
                <w:color w:val="243447"/>
                <w:sz w:val="16"/>
              </w:rPr>
              <w:t>Tage zwischen Rechnung und Zahlung</w:t>
            </w:r>
          </w:p>
        </w:tc>
        <w:tc>
          <w:tcPr>
            <w:tcW w:type="dxa" w:w="3550"/>
            <w:shd w:fill="F8FAFC"/>
            <w:tcMar>
              <w:top w:w="55" w:type="dxa"/>
              <w:start w:w="55" w:type="dxa"/>
              <w:bottom w:w="55" w:type="dxa"/>
              <w:end w:w="55" w:type="dxa"/>
            </w:tcMar>
          </w:tcPr>
          <w:p>
            <w:pPr>
              <w:spacing w:after="0" w:line="230" w:lineRule="auto" w:before="0"/>
            </w:pPr>
            <w:r>
              <w:rPr>
                <w:rFonts w:ascii="Arial" w:hAnsi="Arial" w:eastAsia="Arial"/>
                <w:color w:val="243447"/>
                <w:sz w:val="16"/>
              </w:rPr>
              <w:t>13-Wochen-Liquidität um reale Zahlungserfahrung korrigieren</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Vollkosten-Break-even</w:t>
            </w:r>
          </w:p>
        </w:tc>
        <w:tc>
          <w:tcPr>
            <w:tcW w:type="dxa" w:w="3750"/>
            <w:tcMar>
              <w:top w:w="55" w:type="dxa"/>
              <w:start w:w="55" w:type="dxa"/>
              <w:bottom w:w="55" w:type="dxa"/>
              <w:end w:w="55" w:type="dxa"/>
            </w:tcMar>
          </w:tcPr>
          <w:p>
            <w:pPr>
              <w:spacing w:after="0" w:line="230" w:lineRule="auto" w:before="0"/>
            </w:pPr>
            <w:r>
              <w:rPr>
                <w:rFonts w:ascii="Arial" w:hAnsi="Arial" w:eastAsia="Arial"/>
                <w:color w:val="243447"/>
                <w:sz w:val="16"/>
              </w:rPr>
              <w:t>jährlicher Finanzbedarf ÷ realisierter Beitrag je fakturierbarem Tag</w:t>
            </w:r>
          </w:p>
        </w:tc>
        <w:tc>
          <w:tcPr>
            <w:tcW w:type="dxa" w:w="3550"/>
            <w:tcMar>
              <w:top w:w="55" w:type="dxa"/>
              <w:start w:w="55" w:type="dxa"/>
              <w:bottom w:w="55" w:type="dxa"/>
              <w:end w:w="55" w:type="dxa"/>
            </w:tcMar>
          </w:tcPr>
          <w:p>
            <w:pPr>
              <w:spacing w:after="0" w:line="230" w:lineRule="auto" w:before="0"/>
            </w:pPr>
            <w:r>
              <w:rPr>
                <w:rFonts w:ascii="Arial" w:hAnsi="Arial" w:eastAsia="Arial"/>
                <w:color w:val="243447"/>
                <w:sz w:val="16"/>
              </w:rPr>
              <w:t>darf die realistisch verfügbare Fakturakapazität nicht überschreiten</w:t>
            </w:r>
          </w:p>
        </w:tc>
      </w:tr>
    </w:tbl>
    <w:p>
      <w:pPr>
        <w:pStyle w:val="Heading3"/>
        <w:keepNext/>
        <w:spacing w:after="30" w:before="70" w:line="240" w:lineRule="auto"/>
      </w:pPr>
      <w:r>
        <w:rPr>
          <w:rFonts w:ascii="Arial" w:hAnsi="Arial" w:eastAsia="Arial" w:cs="Arial"/>
          <w:b/>
          <w:color w:val="102A43"/>
          <w:sz w:val="20"/>
        </w:rPr>
        <w:t>Kapazitätskorridor als Belastungstest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000"/>
        <w:gridCol w:w="3050"/>
        <w:gridCol w:w="4700"/>
      </w:tblGrid>
      <w:tr>
        <w:trPr>
          <w:tblHeader/>
        </w:trPr>
        <w:tc>
          <w:tcPr>
            <w:tcW w:type="dxa" w:w="2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Fakturierbare Tage</w:t>
            </w:r>
          </w:p>
        </w:tc>
        <w:tc>
          <w:tcPr>
            <w:tcW w:type="dxa" w:w="3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Serviceumsatz bei 900 EUR/Tag</w:t>
            </w:r>
          </w:p>
        </w:tc>
        <w:tc>
          <w:tcPr>
            <w:tcW w:type="dxa" w:w="4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Einordnung</w:t>
            </w:r>
          </w:p>
        </w:tc>
      </w:tr>
      <w:tr>
        <w:trPr>
          <w:cantSplit/>
        </w:trPr>
        <w:tc>
          <w:tcPr>
            <w:tcW w:type="dxa" w:w="2000"/>
            <w:tcMar>
              <w:top w:w="55" w:type="dxa"/>
              <w:start w:w="55" w:type="dxa"/>
              <w:bottom w:w="55" w:type="dxa"/>
              <w:end w:w="55" w:type="dxa"/>
            </w:tcMar>
          </w:tcPr>
          <w:p>
            <w:pPr>
              <w:spacing w:after="0" w:line="230" w:lineRule="auto" w:before="0"/>
            </w:pPr>
            <w:r>
              <w:rPr>
                <w:rFonts w:ascii="Arial" w:hAnsi="Arial" w:eastAsia="Arial"/>
                <w:color w:val="243447"/>
                <w:sz w:val="16"/>
              </w:rPr>
              <w:t>80 Tage</w:t>
            </w:r>
          </w:p>
        </w:tc>
        <w:tc>
          <w:tcPr>
            <w:tcW w:type="dxa" w:w="3050"/>
            <w:tcMar>
              <w:top w:w="55" w:type="dxa"/>
              <w:start w:w="55" w:type="dxa"/>
              <w:bottom w:w="55" w:type="dxa"/>
              <w:end w:w="55" w:type="dxa"/>
            </w:tcMar>
          </w:tcPr>
          <w:p>
            <w:pPr>
              <w:spacing w:after="0" w:line="230" w:lineRule="auto" w:before="0"/>
            </w:pPr>
            <w:r>
              <w:rPr>
                <w:rFonts w:ascii="Arial" w:hAnsi="Arial" w:eastAsia="Arial"/>
                <w:color w:val="243447"/>
                <w:sz w:val="16"/>
              </w:rPr>
              <w:t>72.000 EUR</w:t>
            </w:r>
          </w:p>
        </w:tc>
        <w:tc>
          <w:tcPr>
            <w:tcW w:type="dxa" w:w="4700"/>
            <w:tcMar>
              <w:top w:w="55" w:type="dxa"/>
              <w:start w:w="55" w:type="dxa"/>
              <w:bottom w:w="55" w:type="dxa"/>
              <w:end w:w="55" w:type="dxa"/>
            </w:tcMar>
          </w:tcPr>
          <w:p>
            <w:pPr>
              <w:spacing w:after="0" w:line="230" w:lineRule="auto" w:before="0"/>
            </w:pPr>
            <w:r>
              <w:rPr>
                <w:rFonts w:ascii="Arial" w:hAnsi="Arial" w:eastAsia="Arial"/>
                <w:color w:val="243447"/>
                <w:sz w:val="16"/>
              </w:rPr>
              <w:t>Anlauf-/Downside: hoher Anteil Vertrieb und Aufbau; Fixkosten strikt niedrig halten</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100 Tage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90.000 EUR</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früher belastbarer Betrieb; noch kein Spielraum für vorschnellen Personalaufbau</w:t>
            </w:r>
          </w:p>
        </w:tc>
      </w:tr>
      <w:tr>
        <w:trPr>
          <w:cantSplit/>
        </w:trPr>
        <w:tc>
          <w:tcPr>
            <w:tcW w:type="dxa" w:w="2000"/>
            <w:tcMar>
              <w:top w:w="55" w:type="dxa"/>
              <w:start w:w="55" w:type="dxa"/>
              <w:bottom w:w="55" w:type="dxa"/>
              <w:end w:w="55" w:type="dxa"/>
            </w:tcMar>
          </w:tcPr>
          <w:p>
            <w:pPr>
              <w:spacing w:after="0" w:before="0" w:line="230" w:lineRule="auto"/>
            </w:pPr>
            <w:r>
              <w:rPr>
                <w:sz w:val="16"/>
              </w:rPr>
              <w:t>102 Tage</w:t>
            </w:r>
          </w:p>
        </w:tc>
        <w:tc>
          <w:tcPr>
            <w:tcW w:type="dxa" w:w="3050"/>
            <w:tcMar>
              <w:top w:w="55" w:type="dxa"/>
              <w:start w:w="55" w:type="dxa"/>
              <w:bottom w:w="55" w:type="dxa"/>
              <w:end w:w="55" w:type="dxa"/>
            </w:tcMar>
          </w:tcPr>
          <w:p>
            <w:pPr>
              <w:spacing w:after="0" w:before="0" w:line="230" w:lineRule="auto"/>
            </w:pPr>
            <w:r>
              <w:rPr>
                <w:sz w:val="16"/>
              </w:rPr>
              <w:t>91.800 EUR</w:t>
            </w:r>
          </w:p>
        </w:tc>
        <w:tc>
          <w:tcPr>
            <w:tcW w:type="dxa" w:w="4700"/>
            <w:tcMar>
              <w:top w:w="55" w:type="dxa"/>
              <w:start w:w="55" w:type="dxa"/>
              <w:bottom w:w="55" w:type="dxa"/>
              <w:end w:w="55" w:type="dxa"/>
            </w:tcMar>
          </w:tcPr>
          <w:p>
            <w:pPr>
              <w:spacing w:after="0" w:before="0" w:line="230" w:lineRule="auto"/>
            </w:pPr>
            <w:r>
              <w:rPr>
                <w:sz w:val="16"/>
              </w:rPr>
              <w:t>Konservativer Kapazitätsrahmen des Basiscase in Planjahr 1</w:t>
            </w:r>
          </w:p>
        </w:tc>
      </w:tr>
      <w:tr>
        <w:trPr>
          <w:cantSplit/>
        </w:trPr>
        <w:tc>
          <w:tcPr>
            <w:tcW w:type="dxa" w:w="2000"/>
            <w:shd w:fill="F8FAFC"/>
            <w:tcMar>
              <w:top w:w="55" w:type="dxa"/>
              <w:start w:w="55" w:type="dxa"/>
              <w:bottom w:w="55" w:type="dxa"/>
              <w:end w:w="55" w:type="dxa"/>
            </w:tcMar>
          </w:tcPr>
          <w:p>
            <w:pPr>
              <w:spacing w:after="0" w:line="230" w:lineRule="auto" w:before="0"/>
            </w:pPr>
            <w:r>
              <w:rPr>
                <w:rFonts w:ascii="Arial" w:hAnsi="Arial" w:eastAsia="Arial"/>
                <w:color w:val="243447"/>
                <w:sz w:val="16"/>
              </w:rPr>
              <w:t>140 Tage</w:t>
            </w:r>
          </w:p>
        </w:tc>
        <w:tc>
          <w:tcPr>
            <w:tcW w:type="dxa" w:w="3050"/>
            <w:shd w:fill="F8FAFC"/>
            <w:tcMar>
              <w:top w:w="55" w:type="dxa"/>
              <w:start w:w="55" w:type="dxa"/>
              <w:bottom w:w="55" w:type="dxa"/>
              <w:end w:w="55" w:type="dxa"/>
            </w:tcMar>
          </w:tcPr>
          <w:p>
            <w:pPr>
              <w:spacing w:after="0" w:line="230" w:lineRule="auto" w:before="0"/>
            </w:pPr>
            <w:r>
              <w:rPr>
                <w:rFonts w:ascii="Arial" w:hAnsi="Arial" w:eastAsia="Arial"/>
                <w:color w:val="243447"/>
                <w:sz w:val="16"/>
              </w:rPr>
              <w:t>126.000 EUR</w:t>
            </w:r>
          </w:p>
        </w:tc>
        <w:tc>
          <w:tcPr>
            <w:tcW w:type="dxa" w:w="4700"/>
            <w:shd w:fill="F8FAFC"/>
            <w:tcMar>
              <w:top w:w="55" w:type="dxa"/>
              <w:start w:w="55" w:type="dxa"/>
              <w:bottom w:w="55" w:type="dxa"/>
              <w:end w:w="55" w:type="dxa"/>
            </w:tcMar>
          </w:tcPr>
          <w:p>
            <w:pPr>
              <w:spacing w:after="0" w:line="230" w:lineRule="auto" w:before="0"/>
            </w:pPr>
            <w:r>
              <w:rPr>
                <w:rFonts w:ascii="Arial" w:hAnsi="Arial" w:eastAsia="Arial"/>
                <w:color w:val="243447"/>
                <w:sz w:val="16"/>
              </w:rPr>
              <w:t>obere Planungsgrenze; weiteres Wachstum erfordert Preishebel, Standards oder Delivery-Kapazität</w:t>
            </w:r>
          </w:p>
        </w:tc>
      </w:tr>
    </w:tbl>
    <w:p>
      <w:pPr>
        <w:pStyle w:val="BodyText"/>
        <w:spacing w:after="44" w:before="0" w:line="245" w:lineRule="auto"/>
        <w:jc w:val="both"/>
      </w:pPr>
      <w:r>
        <w:rPr>
          <w:rFonts w:ascii="Arial" w:hAnsi="Arial" w:eastAsia="Arial" w:cs="Arial"/>
          <w:color w:val="243447"/>
          <w:sz w:val="19"/>
        </w:rPr>
        <w:t>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pPr>
        <w:pStyle w:val="Heading2"/>
        <w:keepNext/>
        <w:pBdr>
          <w:bottom w:val="single" w:sz="8" w:space="6" w:color="B08D57"/>
        </w:pBdr>
        <w:spacing w:after="50" w:before="100" w:line="240" w:lineRule="auto"/>
      </w:pPr>
      <w:r>
        <w:rPr>
          <w:rFonts w:ascii="Arial" w:hAnsi="Arial" w:eastAsia="Arial" w:cs="Arial"/>
          <w:b/>
          <w:color w:val="1E3A5F"/>
          <w:sz w:val="24"/>
        </w:rPr>
        <w:t>Wiederkehrende Erlöse und Skalierungshebel</w:t>
      </w:r>
    </w:p>
    <w:p>
      <w:pPr>
        <w:pStyle w:val="BodyText"/>
        <w:spacing w:after="44" w:before="0" w:line="245" w:lineRule="auto"/>
        <w:jc w:val="both"/>
      </w:pPr>
      <w:r>
        <w:rPr>
          <w:rFonts w:ascii="Arial" w:hAnsi="Arial" w:eastAsia="Arial"/>
          <w:i w:val="0"/>
          <w:color w:val="243447"/>
          <w:sz w:val="19"/>
        </w:rPr>
        <w:t>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450"/>
        <w:gridCol w:w="3900"/>
        <w:gridCol w:w="3400"/>
      </w:tblGrid>
      <w:tr>
        <w:trPr>
          <w:tblHeader/>
        </w:trPr>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Hebel</w:t>
            </w:r>
          </w:p>
        </w:tc>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Wirtschaftlicher Effekt</w:t>
            </w:r>
          </w:p>
        </w:tc>
        <w:tc>
          <w:tcPr>
            <w:tcW w:type="dxa" w:w="34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Schutzregel</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Templates und Standards</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weniger Stunden je wiederholter Aufgabe</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Qualität und Kundennutzen müssen erhalten bleiben</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Partner-Rahmenpreise</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bessere Planbarkeit und geringere Beschaffungszeit</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Abhängigkeit von nur einem kritischen Anbieter</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Mehrere Gruppen je Kunde</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geringere Akquisekosten je Folgeauftrag</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neuer Scope und Kapazität werden trotzdem kalkuliert</w:t>
            </w:r>
          </w:p>
        </w:tc>
      </w:tr>
      <w:tr>
        <w:trPr>
          <w:cantSplit/>
        </w:trPr>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Digitale Workflows</w:t>
            </w:r>
          </w:p>
        </w:tc>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Status- und Dokumentationsaufwand</w:t>
            </w:r>
          </w:p>
        </w:tc>
        <w:tc>
          <w:tcPr>
            <w:tcW w:type="dxa" w:w="3400"/>
            <w:shd w:fill="F8FAFC"/>
            <w:tcMar>
              <w:top w:w="55" w:type="dxa"/>
              <w:start w:w="55" w:type="dxa"/>
              <w:bottom w:w="55" w:type="dxa"/>
              <w:end w:w="55" w:type="dxa"/>
            </w:tcMar>
          </w:tcPr>
          <w:p>
            <w:pPr>
              <w:spacing w:after="0" w:line="230" w:lineRule="auto" w:before="0"/>
            </w:pPr>
            <w:r>
              <w:rPr>
                <w:rFonts w:ascii="Arial" w:hAnsi="Arial" w:eastAsia="Arial"/>
                <w:color w:val="243447"/>
                <w:sz w:val="16"/>
              </w:rPr>
              <w:t>Eigenentwicklung erst nach wiederholtem Prozessbeweis</w:t>
            </w:r>
          </w:p>
        </w:tc>
      </w:tr>
      <w:tr>
        <w:trPr>
          <w:cantSplit/>
        </w:trPr>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Volumenpreise</w:t>
            </w:r>
          </w:p>
        </w:tc>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höherer Gesamtauftrag und Planungssicherheit</w:t>
            </w:r>
          </w:p>
        </w:tc>
        <w:tc>
          <w:tcPr>
            <w:tcW w:type="dxa" w:w="3400"/>
            <w:tcMar>
              <w:top w:w="55" w:type="dxa"/>
              <w:start w:w="55" w:type="dxa"/>
              <w:bottom w:w="55" w:type="dxa"/>
              <w:end w:w="55" w:type="dxa"/>
            </w:tcMar>
          </w:tcPr>
          <w:p>
            <w:pPr>
              <w:spacing w:after="0" w:line="230" w:lineRule="auto" w:before="0"/>
            </w:pPr>
            <w:r>
              <w:rPr>
                <w:rFonts w:ascii="Arial" w:hAnsi="Arial" w:eastAsia="Arial"/>
                <w:color w:val="243447"/>
                <w:sz w:val="16"/>
              </w:rPr>
              <w:t>Rabatt nur bei realer Standardisierung oder Mindestabnahme</w:t>
            </w:r>
          </w:p>
        </w:tc>
      </w:tr>
    </w:tbl>
    <w:p>
      <w:pPr>
        <w:pStyle w:val="Heading2"/>
        <w:keepNext/>
        <w:pBdr>
          <w:bottom w:val="single" w:sz="8" w:space="6" w:color="B08D57"/>
        </w:pBdr>
        <w:spacing w:after="50" w:before="100" w:line="240" w:lineRule="auto"/>
      </w:pPr>
      <w:r>
        <w:rPr>
          <w:rFonts w:ascii="Arial" w:hAnsi="Arial" w:eastAsia="Arial" w:cs="Arial"/>
          <w:b/>
          <w:color w:val="1E3A5F"/>
          <w:sz w:val="24"/>
        </w:rPr>
        <w:t>Selektiver Objektbetrieb als eigene Investitionsentscheidung</w:t>
      </w:r>
    </w:p>
    <w:p>
      <w:pPr>
        <w:pStyle w:val="BodyText"/>
        <w:spacing w:after="44" w:before="0" w:line="245" w:lineRule="auto"/>
        <w:jc w:val="both"/>
      </w:pPr>
      <w:r>
        <w:rPr>
          <w:rFonts w:ascii="Arial" w:hAnsi="Arial" w:eastAsia="Arial"/>
          <w:i w:val="0"/>
          <w:color w:val="243447"/>
          <w:sz w:val="19"/>
        </w:rPr>
        <w:t>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500"/>
        <w:gridCol w:w="7250"/>
      </w:tblGrid>
      <w:tr>
        <w:trPr>
          <w:tblHeader/>
        </w:trPr>
        <w:tc>
          <w:tcPr>
            <w:tcW w:type="dxa" w:w="2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Objekt-Gate</w:t>
            </w:r>
          </w:p>
        </w:tc>
        <w:tc>
          <w:tcPr>
            <w:tcW w:type="dxa" w:w="7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Mindestanforderung</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Nachfrage</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konkrete, zeitlich passende Arbeitgeber- oder Bewohnernachfrage; keine reine Hoffnungsauslastung</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Recht und Technik</w:t>
            </w:r>
          </w:p>
        </w:tc>
        <w:tc>
          <w:tcPr>
            <w:tcW w:type="dxa" w:w="7250"/>
            <w:shd w:fill="F8FAFC"/>
            <w:tcMar>
              <w:top w:w="55" w:type="dxa"/>
              <w:start w:w="55" w:type="dxa"/>
              <w:bottom w:w="55" w:type="dxa"/>
              <w:end w:w="55" w:type="dxa"/>
            </w:tcMar>
          </w:tcPr>
          <w:p>
            <w:pPr>
              <w:spacing w:after="0" w:line="230" w:lineRule="auto" w:before="0"/>
            </w:pPr>
            <w:r>
              <w:rPr>
                <w:rFonts w:ascii="Arial" w:hAnsi="Arial" w:eastAsia="Arial"/>
                <w:color w:val="243447"/>
                <w:sz w:val="16"/>
              </w:rPr>
              <w:t>zulässige Nutzung, Untervermietung, Brandschutz, Meldefähigkeit, Versicherung und Vertragsrechte</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Wirtschaftlichkeit</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positiver Deckungsbeitrag auch bei mindestens 20 % Leerstand und realistischen Betriebskosten</w:t>
            </w:r>
          </w:p>
        </w:tc>
      </w:tr>
      <w:tr>
        <w:trPr>
          <w:cantSplit/>
        </w:trPr>
        <w:tc>
          <w:tcPr>
            <w:tcW w:type="dxa" w:w="2500"/>
            <w:shd w:fill="F8FAFC"/>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7250"/>
            <w:shd w:fill="F8FAFC"/>
            <w:tcMar>
              <w:top w:w="55" w:type="dxa"/>
              <w:start w:w="55" w:type="dxa"/>
              <w:bottom w:w="55" w:type="dxa"/>
              <w:end w:w="55" w:type="dxa"/>
            </w:tcMar>
          </w:tcPr>
          <w:p>
            <w:pPr>
              <w:spacing w:after="0" w:line="230" w:lineRule="auto" w:before="0"/>
            </w:pPr>
            <w:r>
              <w:rPr>
                <w:rFonts w:ascii="Arial" w:hAnsi="Arial" w:eastAsia="Arial"/>
                <w:color w:val="243447"/>
                <w:sz w:val="16"/>
              </w:rPr>
              <w:t>Finanzierung von Kaution/CAPEX sowie Zielreserve von sechs objektbezogenen Fixkostenmonaten</w:t>
            </w:r>
          </w:p>
        </w:tc>
      </w:tr>
      <w:tr>
        <w:trPr>
          <w:cantSplit/>
        </w:trPr>
        <w:tc>
          <w:tcPr>
            <w:tcW w:type="dxa" w:w="2500"/>
            <w:tcMar>
              <w:top w:w="55" w:type="dxa"/>
              <w:start w:w="55" w:type="dxa"/>
              <w:bottom w:w="55" w:type="dxa"/>
              <w:end w:w="55" w:type="dxa"/>
            </w:tcMar>
          </w:tcPr>
          <w:p>
            <w:pPr>
              <w:spacing w:after="0" w:line="230" w:lineRule="auto" w:before="0"/>
            </w:pPr>
            <w:r>
              <w:rPr>
                <w:rFonts w:ascii="Arial" w:hAnsi="Arial" w:eastAsia="Arial"/>
                <w:color w:val="243447"/>
                <w:sz w:val="16"/>
              </w:rPr>
              <w:t>Exit</w:t>
            </w:r>
          </w:p>
        </w:tc>
        <w:tc>
          <w:tcPr>
            <w:tcW w:type="dxa" w:w="7250"/>
            <w:tcMar>
              <w:top w:w="55" w:type="dxa"/>
              <w:start w:w="55" w:type="dxa"/>
              <w:bottom w:w="55" w:type="dxa"/>
              <w:end w:w="55" w:type="dxa"/>
            </w:tcMar>
          </w:tcPr>
          <w:p>
            <w:pPr>
              <w:spacing w:after="0" w:line="230" w:lineRule="auto" w:before="0"/>
            </w:pPr>
            <w:r>
              <w:rPr>
                <w:rFonts w:ascii="Arial" w:hAnsi="Arial" w:eastAsia="Arial"/>
                <w:color w:val="243447"/>
                <w:sz w:val="16"/>
              </w:rPr>
              <w:t>Kündigungs-, Rückgabe-, Nachvermietungs- und Rückbaupfad vor Bindung bekannt</w:t>
            </w:r>
          </w:p>
        </w:tc>
      </w:tr>
    </w:tbl>
    <w:p>
      <w:pPr>
        <w:pStyle w:val="BodyText"/>
        <w:spacing w:after="44" w:before="0" w:line="245" w:lineRule="auto"/>
        <w:jc w:val="both"/>
      </w:pPr>
      <w:r>
        <w:rPr>
          <w:rFonts w:ascii="Arial" w:hAnsi="Arial" w:eastAsia="Arial"/>
          <w:i w:val="0"/>
          <w:color w:val="243447"/>
          <w:sz w:val="19"/>
        </w:rPr>
        <w:t>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pPr>
        <w:pStyle w:val="Heading1"/>
        <w:keepNext/>
        <w:spacing w:before="140" w:after="80" w:line="240" w:lineRule="auto"/>
        <w:pBdr>
          <w:bottom w:val="single" w:sz="8" w:space="6" w:color="B08D57"/>
        </w:pBdr>
      </w:pPr>
      <w:r>
        <w:rPr>
          <w:rFonts w:ascii="Arial" w:hAnsi="Arial" w:eastAsia="Arial" w:cs="Arial"/>
          <w:b/>
          <w:color w:val="102A43"/>
          <w:sz w:val="32"/>
        </w:rPr>
        <w:t>9. Kapitalbedarf, Finanzierung und Finanzplanung</w:t>
      </w:r>
    </w:p>
    <w:p>
      <w:pPr>
        <w:pStyle w:val="Heading2"/>
        <w:keepNext/>
        <w:pBdr>
          <w:bottom w:val="single" w:sz="8" w:space="6" w:color="B08D57"/>
        </w:pBdr>
        <w:spacing w:after="50" w:before="100" w:line="240" w:lineRule="auto"/>
      </w:pPr>
      <w:r>
        <w:rPr>
          <w:rFonts w:ascii="Arial" w:hAnsi="Arial" w:eastAsia="Arial" w:cs="Arial"/>
          <w:b/>
          <w:color w:val="1E3A5F"/>
          <w:sz w:val="24"/>
        </w:rPr>
        <w:t>Finanzielle Leitlogik</w:t>
      </w:r>
    </w:p>
    <w:p>
      <w:pPr>
        <w:pStyle w:val="BodyText"/>
        <w:spacing w:after="44" w:before="0" w:line="245" w:lineRule="auto"/>
        <w:jc w:val="both"/>
      </w:pPr>
      <w:r>
        <w:rPr>
          <w:rFonts w:ascii="Arial" w:hAnsi="Arial" w:eastAsia="Arial"/>
          <w:i w:val="0"/>
          <w:color w:val="243447"/>
          <w:sz w:val="19"/>
        </w:rPr>
        <w:t>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pPr>
        <w:pStyle w:val="BodyText"/>
        <w:spacing w:after="44" w:before="0" w:line="245" w:lineRule="auto"/>
        <w:jc w:val="both"/>
      </w:pPr>
      <w:r>
        <w:rPr>
          <w:rFonts w:ascii="Arial" w:hAnsi="Arial" w:eastAsia="Arial"/>
          <w:i w:val="0"/>
          <w:color w:val="243447"/>
          <w:sz w:val="19"/>
        </w:rPr>
        <w:t>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KAUFMÄNNISCHE GRUNDREGEL  </w:t>
      </w:r>
      <w:r>
        <w:rPr>
          <w:rFonts w:ascii="Arial" w:hAnsi="Arial" w:eastAsia="Arial"/>
          <w:color w:val="243447"/>
          <w:sz w:val="19"/>
        </w:rPr>
        <w:t>Die Servicegesellschaft muss auch ohne Betreiberumsatz tragfähig sein. Ein Objekt darf später nur hinzukommen, wenn seine eigene Ergebnis- und Liquiditätsrechnung den Service-Basiscase nicht gefährdet.</w:t>
      </w:r>
    </w:p>
    <w:p>
      <w:pPr>
        <w:pStyle w:val="Heading2"/>
        <w:keepNext/>
        <w:pBdr>
          <w:bottom w:val="single" w:sz="8" w:space="6" w:color="B08D57"/>
        </w:pBdr>
        <w:spacing w:after="50" w:before="100" w:line="240" w:lineRule="auto"/>
      </w:pPr>
      <w:r>
        <w:rPr>
          <w:rFonts w:ascii="Arial" w:hAnsi="Arial" w:eastAsia="Arial" w:cs="Arial"/>
          <w:b/>
          <w:color w:val="1E3A5F"/>
          <w:sz w:val="24"/>
        </w:rPr>
        <w:t>Kapitalbedarf zum Markteintritt</w:t>
      </w:r>
    </w:p>
    <w:p>
      <w:pPr>
        <w:pStyle w:val="BodyText"/>
        <w:spacing w:after="44" w:before="0" w:line="245" w:lineRule="auto"/>
        <w:jc w:val="both"/>
      </w:pPr>
      <w:r>
        <w:rPr>
          <w:rFonts w:ascii="Arial" w:hAnsi="Arial" w:eastAsia="Arial"/>
          <w:i w:val="0"/>
          <w:color w:val="243447"/>
          <w:sz w:val="19"/>
        </w:rPr>
        <w:t>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300"/>
        <w:gridCol w:w="1650"/>
        <w:gridCol w:w="3800"/>
      </w:tblGrid>
      <w:tr>
        <w:trPr>
          <w:tblHeader/>
        </w:trPr>
        <w:tc>
          <w:tcPr>
            <w:tcW w:type="dxa" w:w="43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Kapitalbedarf</w:t>
            </w:r>
          </w:p>
        </w:tc>
        <w:tc>
          <w:tcPr>
            <w:tcW w:type="dxa" w:w="1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Betrag</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Funktion</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Recht, Verträge, Datenschutz und Steuer-Setup</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3.500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professionelle und haftungsbewusste Startbasis</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Hardware und Arbeitsmittel</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2.000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schlanker Gründerarbeitsplatz</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Marke, Website und Vertriebsunterlagen</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2.500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B2B-Markteintritt und Beschaffungsfähigkeit</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Versicherungen und Anlaufbeiträge</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1.200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betriebliches Grundrisiko</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Software- und System-Setup</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1.000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CRM, Projekt- und Dokumentenstruktur</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Betriebsmittelreserve</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Vertriebsanlauf und Zahlungsverschiebungen</w:t>
            </w:r>
          </w:p>
        </w:tc>
      </w:tr>
      <w:tr>
        <w:trPr>
          <w:cantSplit/>
        </w:trPr>
        <w:tc>
          <w:tcPr>
            <w:tcW w:type="dxa" w:w="4300"/>
            <w:tcMar>
              <w:top w:w="55" w:type="dxa"/>
              <w:start w:w="55" w:type="dxa"/>
              <w:bottom w:w="55" w:type="dxa"/>
              <w:end w:w="55" w:type="dxa"/>
            </w:tcMar>
          </w:tcPr>
          <w:p>
            <w:pPr>
              <w:spacing w:after="0" w:line="230" w:lineRule="auto" w:before="0"/>
            </w:pPr>
            <w:r>
              <w:rPr>
                <w:rFonts w:ascii="Arial" w:hAnsi="Arial" w:eastAsia="Arial"/>
                <w:color w:val="243447"/>
                <w:sz w:val="16"/>
              </w:rPr>
              <w:t>Allgemeiner Risikopuffer</w:t>
            </w:r>
          </w:p>
        </w:tc>
        <w:tc>
          <w:tcPr>
            <w:tcW w:type="dxa" w:w="1650"/>
            <w:tcMar>
              <w:top w:w="55" w:type="dxa"/>
              <w:start w:w="55" w:type="dxa"/>
              <w:bottom w:w="55" w:type="dxa"/>
              <w:end w:w="55" w:type="dxa"/>
            </w:tcMar>
          </w:tcPr>
          <w:p>
            <w:pPr>
              <w:spacing w:after="0" w:line="230" w:lineRule="auto" w:before="0"/>
            </w:pPr>
            <w:r>
              <w:rPr>
                <w:rFonts w:ascii="Arial" w:hAnsi="Arial" w:eastAsia="Arial"/>
                <w:color w:val="243447"/>
                <w:sz w:val="16"/>
              </w:rPr>
              <w:t>4.800 EUR</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unvorhergesehene Kosten ohne Objektbindung</w:t>
            </w:r>
          </w:p>
        </w:tc>
      </w:tr>
      <w:tr>
        <w:trPr>
          <w:cantSplit/>
        </w:trPr>
        <w:tc>
          <w:tcPr>
            <w:tcW w:type="dxa" w:w="4300"/>
            <w:shd w:fill="F8FAFC"/>
            <w:tcMar>
              <w:top w:w="55" w:type="dxa"/>
              <w:start w:w="55" w:type="dxa"/>
              <w:bottom w:w="55" w:type="dxa"/>
              <w:end w:w="55" w:type="dxa"/>
            </w:tcMar>
          </w:tcPr>
          <w:p>
            <w:pPr>
              <w:spacing w:after="0" w:line="230" w:lineRule="auto" w:before="0"/>
            </w:pPr>
            <w:r>
              <w:rPr>
                <w:rFonts w:ascii="Arial" w:hAnsi="Arial" w:eastAsia="Arial"/>
                <w:color w:val="243447"/>
                <w:sz w:val="16"/>
              </w:rPr>
              <w:t>Gesamtkapitalbedarf</w:t>
            </w:r>
          </w:p>
        </w:tc>
        <w:tc>
          <w:tcPr>
            <w:tcW w:type="dxa" w:w="1650"/>
            <w:shd w:fill="F8FAFC"/>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vollständig zu finanzierender Startbedarf</w:t>
            </w:r>
          </w:p>
        </w:tc>
      </w:tr>
    </w:tbl>
    <w:p>
      <w:pPr>
        <w:pStyle w:val="Heading3"/>
        <w:keepNext/>
        <w:spacing w:after="30" w:before="70" w:line="240" w:lineRule="auto"/>
      </w:pPr>
      <w:r>
        <w:rPr>
          <w:rFonts w:ascii="Arial" w:hAnsi="Arial" w:eastAsia="Arial" w:cs="Arial"/>
          <w:b/>
          <w:color w:val="102A43"/>
          <w:sz w:val="20"/>
        </w:rPr>
        <w:t>Finanzierung des Basiscase</w:t>
      </w:r>
    </w:p>
    <w:p>
      <w:pPr>
        <w:pStyle w:val="BodyText"/>
        <w:spacing w:after="44" w:before="0" w:line="245" w:lineRule="auto"/>
        <w:jc w:val="both"/>
      </w:pPr>
      <w:r>
        <w:rPr>
          <w:rFonts w:ascii="Arial" w:hAnsi="Arial" w:eastAsia="Arial"/>
          <w:i w:val="0"/>
          <w:color w:val="243447"/>
          <w:sz w:val="19"/>
        </w:rPr>
        <w:t>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800"/>
        <w:gridCol w:w="1700"/>
        <w:gridCol w:w="4250"/>
      </w:tblGrid>
      <w:tr>
        <w:trPr>
          <w:tblHeader/>
        </w:trPr>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Finanzierungsquelle</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Basiscase</w:t>
            </w:r>
          </w:p>
        </w:tc>
        <w:tc>
          <w:tcPr>
            <w:tcW w:type="dxa" w:w="4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Status / Bedingung</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Stammkapital</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500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vorhanden gemäß Gründungsangabe</w:t>
            </w:r>
          </w:p>
        </w:tc>
      </w:tr>
      <w:tr>
        <w:trPr>
          <w:cantSplit/>
        </w:trPr>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Zusätzliche private Mittel</w:t>
            </w:r>
          </w:p>
        </w:tc>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24.500 EUR</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noch einzubringen und zu dokumentieren</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Gründungszuschuss</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nicht als Unternehmensumsatz oder sichere Finanzierung angesetzt</w:t>
            </w:r>
          </w:p>
        </w:tc>
      </w:tr>
      <w:tr>
        <w:trPr>
          <w:cantSplit/>
        </w:trPr>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Förderdarlehen</w:t>
            </w:r>
          </w:p>
        </w:tc>
        <w:tc>
          <w:tcPr>
            <w:tcW w:type="dxa" w:w="1700"/>
            <w:shd w:fill="F8FAFC"/>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4250"/>
            <w:shd w:fill="F8FAFC"/>
            <w:tcMar>
              <w:top w:w="55" w:type="dxa"/>
              <w:start w:w="55" w:type="dxa"/>
              <w:bottom w:w="55" w:type="dxa"/>
              <w:end w:w="55" w:type="dxa"/>
            </w:tcMar>
          </w:tcPr>
          <w:p>
            <w:pPr>
              <w:spacing w:after="0" w:line="230" w:lineRule="auto" w:before="0"/>
            </w:pPr>
            <w:r>
              <w:rPr>
                <w:rFonts w:ascii="Arial" w:hAnsi="Arial" w:eastAsia="Arial"/>
                <w:color w:val="243447"/>
                <w:sz w:val="16"/>
              </w:rPr>
              <w:t>Option nur nach Antrag, Prüfung und Zusage</w:t>
            </w:r>
          </w:p>
        </w:tc>
      </w:tr>
      <w:tr>
        <w:trPr>
          <w:cantSplit/>
        </w:trPr>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Gesamtfinanzierung</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4250"/>
            <w:tcMar>
              <w:top w:w="55" w:type="dxa"/>
              <w:start w:w="55" w:type="dxa"/>
              <w:bottom w:w="55" w:type="dxa"/>
              <w:end w:w="55" w:type="dxa"/>
            </w:tcMar>
          </w:tcPr>
          <w:p>
            <w:pPr>
              <w:spacing w:after="0" w:line="230" w:lineRule="auto" w:before="0"/>
            </w:pPr>
            <w:r>
              <w:rPr>
                <w:rFonts w:ascii="Arial" w:hAnsi="Arial" w:eastAsia="Arial"/>
                <w:color w:val="243447"/>
                <w:sz w:val="16"/>
              </w:rPr>
              <w:t>deckt den geplanten Startkapitalbedarf</w:t>
            </w:r>
          </w:p>
        </w:tc>
      </w:tr>
    </w:tbl>
    <w:p>
      <w:pPr>
        <w:pStyle w:val="Heading3"/>
        <w:keepNext/>
        <w:spacing w:after="30" w:before="70" w:line="240" w:lineRule="auto"/>
      </w:pPr>
      <w:r>
        <w:rPr>
          <w:rFonts w:ascii="Arial" w:hAnsi="Arial" w:eastAsia="Arial" w:cs="Arial"/>
          <w:b/>
          <w:color w:val="102A43"/>
          <w:sz w:val="20"/>
        </w:rPr>
        <w:t>Förderoptionen ohne Vorwegnahme</w:t>
      </w:r>
    </w:p>
    <w:p>
      <w:pPr>
        <w:pStyle w:val="BodyText"/>
        <w:spacing w:after="44" w:before="0" w:line="245" w:lineRule="auto"/>
        <w:jc w:val="both"/>
      </w:pPr>
      <w:r>
        <w:rPr>
          <w:rFonts w:ascii="Arial" w:hAnsi="Arial" w:eastAsia="Arial"/>
          <w:i w:val="0"/>
          <w:color w:val="243447"/>
          <w:sz w:val="19"/>
        </w:rPr>
        <w:t>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pPr>
        <w:pStyle w:val="BodyText"/>
        <w:spacing w:after="44" w:before="0" w:line="245" w:lineRule="auto"/>
        <w:jc w:val="both"/>
      </w:pPr>
      <w:r>
        <w:rPr>
          <w:rFonts w:ascii="Arial" w:hAnsi="Arial" w:eastAsia="Arial"/>
          <w:i w:val="0"/>
          <w:color w:val="243447"/>
          <w:sz w:val="19"/>
        </w:rPr>
        <w:t>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pPr>
        <w:pStyle w:val="Heading2"/>
        <w:keepNext/>
        <w:pBdr>
          <w:bottom w:val="single" w:sz="8" w:space="6" w:color="B08D57"/>
        </w:pBdr>
        <w:spacing w:after="50" w:before="100" w:line="240" w:lineRule="auto"/>
      </w:pPr>
      <w:r>
        <w:rPr>
          <w:rFonts w:ascii="Arial" w:hAnsi="Arial" w:eastAsia="Arial" w:cs="Arial"/>
          <w:b/>
          <w:color w:val="1E3A5F"/>
          <w:sz w:val="24"/>
        </w:rPr>
        <w:t>Umsatzplanung aus konkreten Mandaten</w:t>
      </w:r>
    </w:p>
    <w:p>
      <w:pPr>
        <w:pStyle w:val="BodyText"/>
        <w:spacing w:after="44" w:before="0" w:line="245" w:lineRule="auto"/>
        <w:jc w:val="both"/>
      </w:pPr>
      <w:r>
        <w:rPr>
          <w:rFonts w:ascii="Arial" w:hAnsi="Arial" w:eastAsia="Arial"/>
          <w:i w:val="0"/>
          <w:color w:val="243447"/>
          <w:sz w:val="19"/>
        </w:rPr>
        <w:t>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600"/>
        <w:gridCol w:w="2050"/>
        <w:gridCol w:w="2050"/>
        <w:gridCol w:w="2050"/>
      </w:tblGrid>
      <w:tr>
        <w:trPr>
          <w:tblHeader/>
        </w:trPr>
        <w:tc>
          <w:tcPr>
            <w:tcW w:type="dxa" w:w="3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Erlösstrom</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2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Blueprint</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63.000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84.000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Launch</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28.000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100.000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110.000 EUR</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Office Setup</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15.000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56.000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Office laufend</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13.500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72.000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144.000 EUR</w:t>
            </w:r>
          </w:p>
        </w:tc>
      </w:tr>
      <w:tr>
        <w:trPr>
          <w:cantSplit/>
        </w:trPr>
        <w:tc>
          <w:tcPr>
            <w:tcW w:type="dxa" w:w="3600"/>
            <w:tcMar>
              <w:top w:w="55" w:type="dxa"/>
              <w:start w:w="55" w:type="dxa"/>
              <w:bottom w:w="55" w:type="dxa"/>
              <w:end w:w="55" w:type="dxa"/>
            </w:tcMar>
          </w:tcPr>
          <w:p>
            <w:pPr>
              <w:spacing w:after="0" w:line="230" w:lineRule="auto" w:before="0"/>
            </w:pPr>
            <w:r>
              <w:rPr>
                <w:rFonts w:ascii="Arial" w:hAnsi="Arial" w:eastAsia="Arial"/>
                <w:color w:val="243447"/>
                <w:sz w:val="16"/>
              </w:rPr>
              <w:t>Zusatzmodule</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10.500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9.000 EUR</w:t>
            </w:r>
          </w:p>
        </w:tc>
        <w:tc>
          <w:tcPr>
            <w:tcW w:type="dxa" w:w="2050"/>
            <w:tcMar>
              <w:top w:w="55" w:type="dxa"/>
              <w:start w:w="55" w:type="dxa"/>
              <w:bottom w:w="55" w:type="dxa"/>
              <w:end w:w="55" w:type="dxa"/>
            </w:tcMar>
          </w:tcPr>
          <w:p>
            <w:pPr>
              <w:spacing w:after="0" w:line="230" w:lineRule="auto" w:before="0"/>
            </w:pPr>
            <w:r>
              <w:rPr>
                <w:rFonts w:ascii="Arial" w:hAnsi="Arial" w:eastAsia="Arial"/>
                <w:color w:val="243447"/>
                <w:sz w:val="16"/>
              </w:rPr>
              <w:t>48.000 EUR</w:t>
            </w:r>
          </w:p>
        </w:tc>
      </w:tr>
      <w:tr>
        <w:trPr>
          <w:cantSplit/>
        </w:trPr>
        <w:tc>
          <w:tcPr>
            <w:tcW w:type="dxa" w:w="3600"/>
            <w:shd w:fill="F8FAFC"/>
            <w:tcMar>
              <w:top w:w="55" w:type="dxa"/>
              <w:start w:w="55" w:type="dxa"/>
              <w:bottom w:w="55" w:type="dxa"/>
              <w:end w:w="55" w:type="dxa"/>
            </w:tcMar>
          </w:tcPr>
          <w:p>
            <w:pPr>
              <w:spacing w:after="0" w:line="230" w:lineRule="auto" w:before="0"/>
            </w:pPr>
            <w:r>
              <w:rPr>
                <w:rFonts w:ascii="Arial" w:hAnsi="Arial" w:eastAsia="Arial"/>
                <w:color w:val="243447"/>
                <w:sz w:val="16"/>
              </w:rPr>
              <w:t>Gesamtumsatz</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92.000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2050"/>
            <w:shd w:fill="F8FAFC"/>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KAPAZITÄTSBEDINGUNG  </w:t>
      </w:r>
      <w:r>
        <w:rPr>
          <w:rFonts w:ascii="Arial" w:hAnsi="Arial" w:eastAsia="Arial"/>
          <w:color w:val="243447"/>
          <w:sz w:val="19"/>
        </w:rPr>
        <w:t>Das Wachstum in Planjahr 2 und 3 setzt bezahlte, delegierbare Arbeit sowie Projektkoordination und später zusätzliche Projektleitung voraus. Kommt diese Kapazität nicht zustande, wird der Umsatzplan reduziert; die Qualitätsreserve des Gründers wird nicht verplant.</w:t>
      </w:r>
    </w:p>
    <w:p>
      <w:pPr>
        <w:pStyle w:val="Heading2"/>
        <w:keepNext/>
        <w:pBdr>
          <w:bottom w:val="single" w:sz="8" w:space="6" w:color="B08D57"/>
        </w:pBdr>
        <w:spacing w:after="50" w:before="100" w:line="240" w:lineRule="auto"/>
      </w:pPr>
      <w:r>
        <w:rPr>
          <w:rFonts w:ascii="Arial" w:hAnsi="Arial" w:eastAsia="Arial" w:cs="Arial"/>
          <w:b/>
          <w:color w:val="1E3A5F"/>
          <w:sz w:val="24"/>
        </w:rPr>
        <w:t>Kosten- und Personalplanung</w:t>
      </w:r>
    </w:p>
    <w:p>
      <w:pPr>
        <w:pStyle w:val="BodyText"/>
        <w:spacing w:after="44" w:before="0" w:line="245" w:lineRule="auto"/>
        <w:jc w:val="both"/>
      </w:pPr>
      <w:r>
        <w:rPr>
          <w:rFonts w:ascii="Arial" w:hAnsi="Arial" w:eastAsia="Arial"/>
          <w:i w:val="0"/>
          <w:color w:val="243447"/>
          <w:sz w:val="19"/>
        </w:rPr>
        <w:t>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type="dxa" w:w="976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4000"/>
        <w:gridCol w:w="1920"/>
        <w:gridCol w:w="1920"/>
        <w:gridCol w:w="1920"/>
      </w:tblGrid>
      <w:tr>
        <w:trPr>
          <w:tblHeader/>
        </w:trPr>
        <w:tc>
          <w:tcPr>
            <w:tcW w:type="dxa" w:w="4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Kostenblock</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2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Variable externe Kosten</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9.200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32.280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66.300 EUR</w:t>
            </w:r>
          </w:p>
        </w:tc>
      </w:tr>
      <w:tr>
        <w:trPr>
          <w:cantSplit/>
        </w:trPr>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Betriebsaufwand</w:t>
            </w:r>
          </w:p>
        </w:tc>
        <w:tc>
          <w:tcPr>
            <w:tcW w:type="dxa" w:w="1920"/>
            <w:shd w:fill="F8FAFC"/>
            <w:tcMar>
              <w:top w:w="55" w:type="dxa"/>
              <w:start w:w="55" w:type="dxa"/>
              <w:bottom w:w="55" w:type="dxa"/>
              <w:end w:w="55" w:type="dxa"/>
            </w:tcMar>
          </w:tcPr>
          <w:p>
            <w:pPr>
              <w:spacing w:after="0" w:before="0" w:line="230" w:lineRule="auto"/>
            </w:pPr>
            <w:r>
              <w:rPr>
                <w:sz w:val="16"/>
              </w:rPr>
              <w:t>19.200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26.400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38.400 EUR</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Geschäftsführerbezug</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30.000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42.000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60.000 EUR</w:t>
            </w:r>
          </w:p>
        </w:tc>
      </w:tr>
      <w:tr>
        <w:trPr>
          <w:cantSplit/>
        </w:trPr>
        <w:tc>
          <w:tcPr>
            <w:tcW w:type="dxa" w:w="4000"/>
            <w:shd w:fill="F8FAFC"/>
            <w:tcMar>
              <w:top w:w="55" w:type="dxa"/>
              <w:start w:w="55" w:type="dxa"/>
              <w:bottom w:w="55" w:type="dxa"/>
              <w:end w:w="55" w:type="dxa"/>
            </w:tcMar>
          </w:tcPr>
          <w:p>
            <w:pPr>
              <w:spacing w:after="0" w:line="230" w:lineRule="auto" w:before="0"/>
            </w:pPr>
            <w:r>
              <w:rPr>
                <w:rFonts w:ascii="Arial" w:hAnsi="Arial" w:eastAsia="Arial"/>
                <w:color w:val="243447"/>
                <w:sz w:val="16"/>
              </w:rPr>
              <w:t>Personal / Projektkoordination</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48.000 EUR</w:t>
            </w:r>
          </w:p>
        </w:tc>
        <w:tc>
          <w:tcPr>
            <w:tcW w:type="dxa" w:w="1920"/>
            <w:shd w:fill="F8FAFC"/>
            <w:tcMar>
              <w:top w:w="55" w:type="dxa"/>
              <w:start w:w="55" w:type="dxa"/>
              <w:bottom w:w="55" w:type="dxa"/>
              <w:end w:w="55" w:type="dxa"/>
            </w:tcMar>
          </w:tcPr>
          <w:p>
            <w:pPr>
              <w:spacing w:after="0" w:line="230" w:lineRule="auto" w:before="0"/>
            </w:pPr>
            <w:r>
              <w:rPr>
                <w:rFonts w:ascii="Arial" w:hAnsi="Arial" w:eastAsia="Arial"/>
                <w:color w:val="243447"/>
                <w:sz w:val="16"/>
              </w:rPr>
              <w:t>108.000 EUR</w:t>
            </w:r>
          </w:p>
        </w:tc>
      </w:tr>
      <w:tr>
        <w:trPr>
          <w:cantSplit/>
        </w:trPr>
        <w:tc>
          <w:tcPr>
            <w:tcW w:type="dxa" w:w="4000"/>
            <w:tcMar>
              <w:top w:w="55" w:type="dxa"/>
              <w:start w:w="55" w:type="dxa"/>
              <w:bottom w:w="55" w:type="dxa"/>
              <w:end w:w="55" w:type="dxa"/>
            </w:tcMar>
          </w:tcPr>
          <w:p>
            <w:pPr>
              <w:spacing w:after="0" w:line="230" w:lineRule="auto" w:before="0"/>
            </w:pPr>
            <w:r>
              <w:rPr>
                <w:rFonts w:ascii="Arial" w:hAnsi="Arial" w:eastAsia="Arial"/>
                <w:color w:val="243447"/>
                <w:sz w:val="16"/>
              </w:rPr>
              <w:t>Abschreibungen</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2.000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3.000 EUR</w:t>
            </w:r>
          </w:p>
        </w:tc>
        <w:tc>
          <w:tcPr>
            <w:tcW w:type="dxa" w:w="1920"/>
            <w:tcMar>
              <w:top w:w="55" w:type="dxa"/>
              <w:start w:w="55" w:type="dxa"/>
              <w:bottom w:w="55" w:type="dxa"/>
              <w:end w:w="55" w:type="dxa"/>
            </w:tcMar>
          </w:tcPr>
          <w:p>
            <w:pPr>
              <w:spacing w:after="0" w:line="230" w:lineRule="auto" w:before="0"/>
            </w:pPr>
            <w:r>
              <w:rPr>
                <w:rFonts w:ascii="Arial" w:hAnsi="Arial" w:eastAsia="Arial"/>
                <w:color w:val="243447"/>
                <w:sz w:val="16"/>
              </w:rPr>
              <w:t>5.000 EUR</w:t>
            </w:r>
          </w:p>
        </w:tc>
      </w:tr>
    </w:tbl>
    <w:p>
      <w:pPr>
        <w:pStyle w:val="BodyText"/>
        <w:spacing w:after="44" w:before="0" w:line="245" w:lineRule="auto"/>
        <w:jc w:val="both"/>
      </w:pPr>
      <w:r>
        <w:t>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pPr>
        <w:pStyle w:val="Heading2"/>
        <w:keepNext/>
        <w:pBdr>
          <w:bottom w:val="single" w:sz="8" w:space="6" w:color="B08D57"/>
        </w:pBdr>
        <w:spacing w:after="50" w:before="100" w:line="240" w:lineRule="auto"/>
      </w:pPr>
      <w:r>
        <w:rPr>
          <w:rFonts w:ascii="Arial" w:hAnsi="Arial" w:eastAsia="Arial" w:cs="Arial"/>
          <w:b/>
          <w:color w:val="1E3A5F"/>
          <w:sz w:val="24"/>
        </w:rPr>
        <w:t>Drei-Jahres-Rentabilitätsvorschau</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rPr>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Position</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Umsatz</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92.000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Variable externe Kosten</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− 9.200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− 32.280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− 66.300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Betriebsaufwand</w:t>
            </w:r>
          </w:p>
        </w:tc>
        <w:tc>
          <w:tcPr>
            <w:tcW w:type="dxa" w:w="1950"/>
            <w:tcMar>
              <w:top w:w="55" w:type="dxa"/>
              <w:start w:w="55" w:type="dxa"/>
              <w:bottom w:w="55" w:type="dxa"/>
              <w:end w:w="55" w:type="dxa"/>
            </w:tcMar>
          </w:tcPr>
          <w:p>
            <w:pPr>
              <w:spacing w:after="0" w:before="0" w:line="230" w:lineRule="auto"/>
            </w:pPr>
            <w:r>
              <w:rPr>
                <w:sz w:val="16"/>
              </w:rPr>
              <w:t>− 19.200 EUR</w:t>
            </w:r>
          </w:p>
        </w:tc>
        <w:tc>
          <w:tcPr>
            <w:tcW w:type="dxa" w:w="1950"/>
            <w:tcMar>
              <w:top w:w="55" w:type="dxa"/>
              <w:start w:w="55" w:type="dxa"/>
              <w:bottom w:w="55" w:type="dxa"/>
              <w:end w:w="55" w:type="dxa"/>
            </w:tcMar>
          </w:tcPr>
          <w:p>
            <w:pPr>
              <w:spacing w:after="0" w:before="0" w:line="230" w:lineRule="auto"/>
            </w:pPr>
            <w:r>
              <w:rPr>
                <w:sz w:val="16"/>
              </w:rPr>
              <w:t>− 26.400 EUR</w:t>
            </w:r>
          </w:p>
        </w:tc>
        <w:tc>
          <w:tcPr>
            <w:tcW w:type="dxa" w:w="1950"/>
            <w:tcMar>
              <w:top w:w="55" w:type="dxa"/>
              <w:start w:w="55" w:type="dxa"/>
              <w:bottom w:w="55" w:type="dxa"/>
              <w:end w:w="55" w:type="dxa"/>
            </w:tcMar>
          </w:tcPr>
          <w:p>
            <w:pPr>
              <w:spacing w:after="0" w:before="0" w:line="230" w:lineRule="auto"/>
            </w:pPr>
            <w:r>
              <w:rPr>
                <w:sz w:val="16"/>
              </w:rPr>
              <w:t>− 38.400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Geschäftsführerbezug</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− 30.000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− 42.000 EUR</w:t>
            </w:r>
          </w:p>
        </w:tc>
        <w:tc>
          <w:tcPr>
            <w:tcW w:type="dxa" w:w="1950"/>
            <w:shd w:fill="F8FAFC"/>
            <w:tcMar>
              <w:top w:w="55" w:type="dxa"/>
              <w:start w:w="55" w:type="dxa"/>
              <w:bottom w:w="55" w:type="dxa"/>
              <w:end w:w="55" w:type="dxa"/>
            </w:tcMar>
          </w:tcPr>
          <w:p>
            <w:pPr>
              <w:spacing w:after="0" w:line="230" w:lineRule="auto" w:before="0"/>
            </w:pPr>
            <w:r>
              <w:rPr>
                <w:rFonts w:ascii="Arial" w:hAnsi="Arial" w:eastAsia="Arial"/>
                <w:color w:val="243447"/>
                <w:sz w:val="16"/>
              </w:rPr>
              <w:t>− 60.000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Personal / Projektkoordination</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− 48.000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− 108.000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EBITDA</w:t>
            </w:r>
          </w:p>
        </w:tc>
        <w:tc>
          <w:tcPr>
            <w:tcW w:type="dxa" w:w="1950"/>
            <w:shd w:fill="F8FAFC"/>
            <w:tcMar>
              <w:top w:w="55" w:type="dxa"/>
              <w:start w:w="55" w:type="dxa"/>
              <w:bottom w:w="55" w:type="dxa"/>
              <w:end w:w="55" w:type="dxa"/>
            </w:tcMar>
          </w:tcPr>
          <w:p>
            <w:pPr>
              <w:spacing w:after="0" w:before="0" w:line="230" w:lineRule="auto"/>
            </w:pPr>
            <w:r>
              <w:rPr>
                <w:sz w:val="16"/>
              </w:rPr>
              <w:t>33.600 EUR</w:t>
            </w:r>
          </w:p>
        </w:tc>
        <w:tc>
          <w:tcPr>
            <w:tcW w:type="dxa" w:w="1950"/>
            <w:shd w:fill="F8FAFC"/>
            <w:tcMar>
              <w:top w:w="55" w:type="dxa"/>
              <w:start w:w="55" w:type="dxa"/>
              <w:bottom w:w="55" w:type="dxa"/>
              <w:end w:w="55" w:type="dxa"/>
            </w:tcMar>
          </w:tcPr>
          <w:p>
            <w:pPr>
              <w:spacing w:after="0" w:before="0" w:line="230" w:lineRule="auto"/>
            </w:pPr>
            <w:r>
              <w:rPr>
                <w:sz w:val="16"/>
              </w:rPr>
              <w:t>120.320 EUR</w:t>
            </w:r>
          </w:p>
        </w:tc>
        <w:tc>
          <w:tcPr>
            <w:tcW w:type="dxa" w:w="1950"/>
            <w:shd w:fill="F8FAFC"/>
            <w:tcMar>
              <w:top w:w="55" w:type="dxa"/>
              <w:start w:w="55" w:type="dxa"/>
              <w:bottom w:w="55" w:type="dxa"/>
              <w:end w:w="55" w:type="dxa"/>
            </w:tcMar>
          </w:tcPr>
          <w:p>
            <w:pPr>
              <w:spacing w:after="0" w:before="0" w:line="230" w:lineRule="auto"/>
            </w:pPr>
            <w:r>
              <w:rPr>
                <w:sz w:val="16"/>
              </w:rPr>
              <w:t>169.300 EUR</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Abschreibungen</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− 2.000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− 3.000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− 5.000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Ergebnis vor Steuern</w:t>
            </w:r>
          </w:p>
        </w:tc>
        <w:tc>
          <w:tcPr>
            <w:tcW w:type="dxa" w:w="1950"/>
            <w:shd w:fill="F8FAFC"/>
            <w:tcMar>
              <w:top w:w="55" w:type="dxa"/>
              <w:start w:w="55" w:type="dxa"/>
              <w:bottom w:w="55" w:type="dxa"/>
              <w:end w:w="55" w:type="dxa"/>
            </w:tcMar>
          </w:tcPr>
          <w:p>
            <w:pPr>
              <w:spacing w:after="0" w:before="0" w:line="230" w:lineRule="auto"/>
            </w:pPr>
            <w:r>
              <w:rPr>
                <w:sz w:val="16"/>
              </w:rPr>
              <w:t>31.600 EUR</w:t>
            </w:r>
          </w:p>
        </w:tc>
        <w:tc>
          <w:tcPr>
            <w:tcW w:type="dxa" w:w="1950"/>
            <w:shd w:fill="F8FAFC"/>
            <w:tcMar>
              <w:top w:w="55" w:type="dxa"/>
              <w:start w:w="55" w:type="dxa"/>
              <w:bottom w:w="55" w:type="dxa"/>
              <w:end w:w="55" w:type="dxa"/>
            </w:tcMar>
          </w:tcPr>
          <w:p>
            <w:pPr>
              <w:spacing w:after="0" w:before="0" w:line="230" w:lineRule="auto"/>
            </w:pPr>
            <w:r>
              <w:rPr>
                <w:sz w:val="16"/>
              </w:rPr>
              <w:t>117.320 EUR</w:t>
            </w:r>
          </w:p>
        </w:tc>
        <w:tc>
          <w:tcPr>
            <w:tcW w:type="dxa" w:w="1950"/>
            <w:shd w:fill="F8FAFC"/>
            <w:tcMar>
              <w:top w:w="55" w:type="dxa"/>
              <w:start w:w="55" w:type="dxa"/>
              <w:bottom w:w="55" w:type="dxa"/>
              <w:end w:w="55" w:type="dxa"/>
            </w:tcMar>
          </w:tcPr>
          <w:p>
            <w:pPr>
              <w:spacing w:after="0" w:before="0" w:line="230" w:lineRule="auto"/>
            </w:pPr>
            <w:r>
              <w:rPr>
                <w:sz w:val="16"/>
              </w:rPr>
              <w:t>164.300 EUR</w:t>
            </w:r>
          </w:p>
        </w:tc>
      </w:tr>
      <w:tr>
        <w:trPr>
          <w:cantSplit/>
        </w:trPr>
        <w:tc>
          <w:tcPr>
            <w:tcW w:type="dxa" w:w="3900"/>
            <w:tcMar>
              <w:top w:w="55" w:type="dxa"/>
              <w:start w:w="55" w:type="dxa"/>
              <w:bottom w:w="55" w:type="dxa"/>
              <w:end w:w="55" w:type="dxa"/>
            </w:tcMar>
          </w:tcPr>
          <w:p>
            <w:pPr>
              <w:spacing w:after="0" w:before="0" w:line="230" w:lineRule="auto"/>
            </w:pPr>
            <w:r>
              <w:rPr>
                <w:sz w:val="16"/>
              </w:rPr>
              <w:t>Ertragsteueraufwand (Plan)</w:t>
            </w:r>
          </w:p>
        </w:tc>
        <w:tc>
          <w:tcPr>
            <w:tcW w:type="dxa" w:w="1950"/>
            <w:tcMar>
              <w:top w:w="55" w:type="dxa"/>
              <w:start w:w="55" w:type="dxa"/>
              <w:bottom w:w="55" w:type="dxa"/>
              <w:end w:w="55" w:type="dxa"/>
            </w:tcMar>
          </w:tcPr>
          <w:p>
            <w:pPr>
              <w:spacing w:after="0" w:before="0" w:line="230" w:lineRule="auto"/>
            </w:pPr>
            <w:r>
              <w:rPr>
                <w:sz w:val="16"/>
              </w:rPr>
              <w:t>− 9.480 EUR</w:t>
            </w:r>
          </w:p>
        </w:tc>
        <w:tc>
          <w:tcPr>
            <w:tcW w:type="dxa" w:w="1950"/>
            <w:tcMar>
              <w:top w:w="55" w:type="dxa"/>
              <w:start w:w="55" w:type="dxa"/>
              <w:bottom w:w="55" w:type="dxa"/>
              <w:end w:w="55" w:type="dxa"/>
            </w:tcMar>
          </w:tcPr>
          <w:p>
            <w:pPr>
              <w:spacing w:after="0" w:before="0" w:line="230" w:lineRule="auto"/>
            </w:pPr>
            <w:r>
              <w:rPr>
                <w:sz w:val="16"/>
              </w:rPr>
              <w:t>− 35.196 EUR</w:t>
            </w:r>
          </w:p>
        </w:tc>
        <w:tc>
          <w:tcPr>
            <w:tcW w:type="dxa" w:w="1950"/>
            <w:tcMar>
              <w:top w:w="55" w:type="dxa"/>
              <w:start w:w="55" w:type="dxa"/>
              <w:bottom w:w="55" w:type="dxa"/>
              <w:end w:w="55" w:type="dxa"/>
            </w:tcMar>
          </w:tcPr>
          <w:p>
            <w:pPr>
              <w:spacing w:after="0" w:before="0" w:line="230" w:lineRule="auto"/>
            </w:pPr>
            <w:r>
              <w:rPr>
                <w:sz w:val="16"/>
              </w:rPr>
              <w:t>− 49.290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Planergebnis nach Steuer</w:t>
            </w:r>
          </w:p>
        </w:tc>
        <w:tc>
          <w:tcPr>
            <w:tcW w:type="dxa" w:w="1950"/>
            <w:shd w:fill="F8FAFC"/>
            <w:tcMar>
              <w:top w:w="55" w:type="dxa"/>
              <w:start w:w="55" w:type="dxa"/>
              <w:bottom w:w="55" w:type="dxa"/>
              <w:end w:w="55" w:type="dxa"/>
            </w:tcMar>
          </w:tcPr>
          <w:p>
            <w:pPr>
              <w:spacing w:after="0" w:before="0" w:line="230" w:lineRule="auto"/>
            </w:pPr>
            <w:r>
              <w:rPr>
                <w:sz w:val="16"/>
              </w:rPr>
              <w:t>22.120 EUR</w:t>
            </w:r>
          </w:p>
        </w:tc>
        <w:tc>
          <w:tcPr>
            <w:tcW w:type="dxa" w:w="1950"/>
            <w:shd w:fill="F8FAFC"/>
            <w:tcMar>
              <w:top w:w="55" w:type="dxa"/>
              <w:start w:w="55" w:type="dxa"/>
              <w:bottom w:w="55" w:type="dxa"/>
              <w:end w:w="55" w:type="dxa"/>
            </w:tcMar>
          </w:tcPr>
          <w:p>
            <w:pPr>
              <w:spacing w:after="0" w:before="0" w:line="230" w:lineRule="auto"/>
            </w:pPr>
            <w:r>
              <w:rPr>
                <w:sz w:val="16"/>
              </w:rPr>
              <w:t>82.124 EUR</w:t>
            </w:r>
          </w:p>
        </w:tc>
        <w:tc>
          <w:tcPr>
            <w:tcW w:type="dxa" w:w="1950"/>
            <w:shd w:fill="F8FAFC"/>
            <w:tcMar>
              <w:top w:w="55" w:type="dxa"/>
              <w:start w:w="55" w:type="dxa"/>
              <w:bottom w:w="55" w:type="dxa"/>
              <w:end w:w="55" w:type="dxa"/>
            </w:tcMar>
          </w:tcPr>
          <w:p>
            <w:pPr>
              <w:spacing w:after="0" w:before="0" w:line="230" w:lineRule="auto"/>
            </w:pPr>
            <w:r>
              <w:rPr>
                <w:sz w:val="16"/>
              </w:rPr>
              <w:t>115.010 EUR</w:t>
            </w:r>
          </w:p>
        </w:tc>
      </w:tr>
    </w:tbl>
    <w:p>
      <w:pPr>
        <w:pStyle w:val="BodyText"/>
        <w:spacing w:after="44" w:before="0" w:line="245" w:lineRule="auto"/>
        <w:jc w:val="both"/>
      </w:pPr>
      <w:r>
        <w:rPr>
          <w:rFonts w:ascii="Arial" w:hAnsi="Arial" w:eastAsia="Arial"/>
          <w:i w:val="0"/>
          <w:color w:val="243447"/>
          <w:sz w:val="19"/>
        </w:rPr>
        <w:t>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pPr>
        <w:pStyle w:val="Heading3"/>
        <w:keepNext/>
        <w:spacing w:after="30" w:before="70" w:line="240" w:lineRule="auto"/>
      </w:pPr>
      <w:r>
        <w:rPr>
          <w:rFonts w:ascii="Arial" w:hAnsi="Arial" w:eastAsia="Arial" w:cs="Arial"/>
          <w:b/>
          <w:color w:val="102A43"/>
          <w:sz w:val="20"/>
        </w:rPr>
        <w:t>Break-even und wirtschaftliche Tragfähigkeit</w:t>
      </w:r>
    </w:p>
    <w:p>
      <w:pPr>
        <w:pStyle w:val="BodyText"/>
        <w:spacing w:after="44" w:before="0" w:line="245" w:lineRule="auto"/>
        <w:jc w:val="both"/>
      </w:pPr>
      <w:r>
        <w:rPr>
          <w:rFonts w:ascii="Arial" w:hAnsi="Arial" w:eastAsia="Arial"/>
          <w:i w:val="0"/>
          <w:color w:val="243447"/>
          <w:sz w:val="19"/>
        </w:rPr>
        <w:t>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jedoch nicht allein das Jahresergebnis, sondern der Zeitpunkt der Zahlungen: Ein rechnerisch profitables Projekt kann bei später Rechnung oder hoher Vorleistung dennoch Liquidität belasten.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200"/>
        <w:gridCol w:w="2750"/>
        <w:gridCol w:w="3800"/>
      </w:tblGrid>
      <w:tr>
        <w:trPr>
          <w:tblHeader/>
        </w:trPr>
        <w:tc>
          <w:tcPr>
            <w:tcW w:type="dxa" w:w="3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Steuerungsgröße</w:t>
            </w:r>
          </w:p>
        </w:tc>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Planwert / Schwelle</w:t>
            </w:r>
          </w:p>
        </w:tc>
        <w:tc>
          <w:tcPr>
            <w:tcW w:type="dxa" w:w="3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Managementreaktion</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Operativer Break-even Jahr 1</w:t>
            </w:r>
          </w:p>
        </w:tc>
        <w:tc>
          <w:tcPr>
            <w:tcW w:type="dxa" w:w="2750"/>
            <w:tcMar>
              <w:top w:w="55" w:type="dxa"/>
              <w:start w:w="55" w:type="dxa"/>
              <w:bottom w:w="55" w:type="dxa"/>
              <w:end w:w="55" w:type="dxa"/>
            </w:tcMar>
          </w:tcPr>
          <w:p>
            <w:pPr>
              <w:spacing w:after="0" w:before="0" w:line="230" w:lineRule="auto"/>
            </w:pPr>
            <w:r>
              <w:rPr>
                <w:sz w:val="16"/>
              </w:rPr>
              <w:t>ca. 56.900 EUR Umsatz</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bei Unterschreitung Geschäftsführerbezug, Kosten und Scope anpassen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Mindestliquidität</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 15.000 / 25.000 EUR</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keine neue Fixkosten- oder Objektbindung unter Schwelle</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Forderung</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nach vertraglichem Zahlungsziel</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Nachfassen; neue Fremdbeauftragung und nichtkritische Folgeleistung stoppen</w:t>
            </w:r>
          </w:p>
        </w:tc>
      </w:tr>
      <w:tr>
        <w:trPr>
          <w:cantSplit/>
        </w:trPr>
        <w:tc>
          <w:tcPr>
            <w:tcW w:type="dxa" w:w="320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Projektstunden</w:t>
            </w:r>
          </w:p>
        </w:tc>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&gt; 10 % über Plan</w:t>
            </w:r>
          </w:p>
        </w:tc>
        <w:tc>
          <w:tcPr>
            <w:tcW w:type="dxa" w:w="3800"/>
            <w:shd w:fill="F8FAFC"/>
            <w:tcMar>
              <w:top w:w="55" w:type="dxa"/>
              <w:start w:w="55" w:type="dxa"/>
              <w:bottom w:w="55" w:type="dxa"/>
              <w:end w:w="55" w:type="dxa"/>
            </w:tcMar>
          </w:tcPr>
          <w:p>
            <w:pPr>
              <w:spacing w:after="0" w:line="230" w:lineRule="auto" w:before="0"/>
            </w:pPr>
            <w:r>
              <w:rPr>
                <w:rFonts w:ascii="Arial" w:hAnsi="Arial" w:eastAsia="Arial"/>
                <w:color w:val="243447"/>
                <w:sz w:val="16"/>
              </w:rPr>
              <w:t>Ursache, Change Request oder Management-Stopp</w:t>
            </w:r>
          </w:p>
        </w:tc>
      </w:tr>
      <w:tr>
        <w:trPr>
          <w:cantSplit/>
        </w:trPr>
        <w:tc>
          <w:tcPr>
            <w:tcW w:type="dxa" w:w="3200"/>
            <w:tcMar>
              <w:top w:w="55" w:type="dxa"/>
              <w:start w:w="55" w:type="dxa"/>
              <w:bottom w:w="55" w:type="dxa"/>
              <w:end w:w="55" w:type="dxa"/>
            </w:tcMar>
          </w:tcPr>
          <w:p>
            <w:pPr>
              <w:spacing w:after="0" w:line="230" w:lineRule="auto" w:before="0"/>
            </w:pPr>
            <w:r>
              <w:rPr>
                <w:rFonts w:ascii="Arial" w:hAnsi="Arial" w:eastAsia="Arial"/>
                <w:color w:val="243447"/>
                <w:sz w:val="16"/>
              </w:rPr>
              <w:t>Kundenkonzentration</w:t>
            </w:r>
          </w:p>
        </w:tc>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&gt; 40 % Jahresumsatz</w:t>
            </w:r>
          </w:p>
        </w:tc>
        <w:tc>
          <w:tcPr>
            <w:tcW w:type="dxa" w:w="3800"/>
            <w:tcMar>
              <w:top w:w="55" w:type="dxa"/>
              <w:start w:w="55" w:type="dxa"/>
              <w:bottom w:w="55" w:type="dxa"/>
              <w:end w:w="55" w:type="dxa"/>
            </w:tcMar>
          </w:tcPr>
          <w:p>
            <w:pPr>
              <w:spacing w:after="0" w:line="230" w:lineRule="auto" w:before="0"/>
            </w:pPr>
            <w:r>
              <w:rPr>
                <w:rFonts w:ascii="Arial" w:hAnsi="Arial" w:eastAsia="Arial"/>
                <w:color w:val="243447"/>
                <w:sz w:val="16"/>
              </w:rPr>
              <w:t>zweiten Ankerkunden aktiv priorisieren</w:t>
            </w:r>
          </w:p>
        </w:tc>
      </w:tr>
    </w:tbl>
    <w:p>
      <w:pPr>
        <w:pStyle w:val="Heading2"/>
        <w:keepNext/>
        <w:pBdr>
          <w:bottom w:val="single" w:sz="8" w:space="6" w:color="B08D57"/>
        </w:pBdr>
        <w:spacing w:after="50" w:before="100" w:line="240" w:lineRule="auto"/>
      </w:pPr>
      <w:r>
        <w:rPr>
          <w:rFonts w:ascii="Arial" w:hAnsi="Arial" w:eastAsia="Arial" w:cs="Arial"/>
          <w:b/>
          <w:color w:val="1E3A5F"/>
          <w:sz w:val="24"/>
        </w:rPr>
        <w:t>Liquiditätsplanung über 36 Monate</w:t>
      </w:r>
    </w:p>
    <w:p>
      <w:pPr>
        <w:pStyle w:val="BodyText"/>
        <w:spacing w:after="44" w:before="0" w:line="245" w:lineRule="auto"/>
        <w:jc w:val="both"/>
      </w:pPr>
      <w:r>
        <w:t>Die begleitende Excel-Datei v1.6 führt P&amp;L, Vertragswerte und Zahlungsmeilensteine getrennt. Sie weist die Startmittel zunächst als Planung und den dokumentierten Zufluss separat aus. Ohne dokumentierte Einzahlung und vor dem ersten Zahlungseingang ist keine Liquiditätsfreigabe gegeben; der Live-Plan ist vor jeder Bindung zu aktualisieren.</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3900"/>
        <w:gridCol w:w="1950"/>
        <w:gridCol w:w="1950"/>
        <w:gridCol w:w="1950"/>
      </w:tblGrid>
      <w:tr>
        <w:trPr>
          <w:tblHeader/>
        </w:trPr>
        <w:tc>
          <w:tcPr>
            <w:tcW w:type="dxa" w:w="3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Liquiditätsgröße</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Start-/Jahresanfangsliquidität</w:t>
            </w:r>
          </w:p>
        </w:tc>
        <w:tc>
          <w:tcPr>
            <w:tcW w:type="dxa" w:w="1950"/>
            <w:tcMar>
              <w:top w:w="55" w:type="dxa"/>
              <w:start w:w="55" w:type="dxa"/>
              <w:bottom w:w="55" w:type="dxa"/>
              <w:end w:w="55" w:type="dxa"/>
            </w:tcMar>
          </w:tcPr>
          <w:p>
            <w:r>
              <w:t>0 EUR live bis dokumentierter Zufluss</w:t>
            </w:r>
          </w:p>
        </w:tc>
        <w:tc>
          <w:tcPr>
            <w:tcW w:type="dxa" w:w="1950"/>
            <w:tcMar>
              <w:top w:w="55" w:type="dxa"/>
              <w:start w:w="55" w:type="dxa"/>
              <w:bottom w:w="55" w:type="dxa"/>
              <w:end w:w="55" w:type="dxa"/>
            </w:tcMar>
          </w:tcPr>
          <w:p>
            <w:r>
              <w:t>v1.6 Cash-Plan</w:t>
            </w:r>
          </w:p>
        </w:tc>
        <w:tc>
          <w:tcPr>
            <w:tcW w:type="dxa" w:w="1950"/>
            <w:tcMar>
              <w:top w:w="55" w:type="dxa"/>
              <w:start w:w="55" w:type="dxa"/>
              <w:bottom w:w="55" w:type="dxa"/>
              <w:end w:w="55" w:type="dxa"/>
            </w:tcMar>
          </w:tcPr>
          <w:p>
            <w:r>
              <w:t>v1.6 Cash-Plan</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Finanzierungszufluss</w:t>
            </w:r>
          </w:p>
        </w:tc>
        <w:tc>
          <w:tcPr>
            <w:tcW w:type="dxa" w:w="1950"/>
            <w:shd w:fill="F8FAFC"/>
            <w:tcMar>
              <w:top w:w="55" w:type="dxa"/>
              <w:start w:w="55" w:type="dxa"/>
              <w:bottom w:w="55" w:type="dxa"/>
              <w:end w:w="55" w:type="dxa"/>
            </w:tcMar>
          </w:tcPr>
          <w:p>
            <w:r>
              <w:t>25.000 EUR geplant; Ist separat</w:t>
            </w:r>
          </w:p>
        </w:tc>
        <w:tc>
          <w:tcPr>
            <w:tcW w:type="dxa" w:w="1950"/>
            <w:shd w:fill="F8FAFC"/>
            <w:tcMar>
              <w:top w:w="55" w:type="dxa"/>
              <w:start w:w="55" w:type="dxa"/>
              <w:bottom w:w="55" w:type="dxa"/>
              <w:end w:w="55" w:type="dxa"/>
            </w:tcMar>
          </w:tcPr>
          <w:p>
            <w:r>
              <w:t>0 EUR</w:t>
            </w:r>
          </w:p>
        </w:tc>
        <w:tc>
          <w:tcPr>
            <w:tcW w:type="dxa" w:w="1950"/>
            <w:shd w:fill="F8FAFC"/>
            <w:tcMar>
              <w:top w:w="55" w:type="dxa"/>
              <w:start w:w="55" w:type="dxa"/>
              <w:bottom w:w="55" w:type="dxa"/>
              <w:end w:w="55" w:type="dxa"/>
            </w:tcMar>
          </w:tcPr>
          <w:p>
            <w:r>
              <w:t>0 EUR</w:t>
            </w:r>
          </w:p>
        </w:tc>
      </w:tr>
      <w:tr>
        <w:trPr>
          <w:cantSplit/>
        </w:trPr>
        <w:tc>
          <w:tcPr>
            <w:tcW w:type="dxa" w:w="3900"/>
            <w:tcMar>
              <w:top w:w="55" w:type="dxa"/>
              <w:start w:w="55" w:type="dxa"/>
              <w:bottom w:w="55" w:type="dxa"/>
              <w:end w:w="55" w:type="dxa"/>
            </w:tcMar>
          </w:tcPr>
          <w:p>
            <w:pPr>
              <w:spacing w:after="0" w:before="0" w:line="230" w:lineRule="auto"/>
            </w:pPr>
            <w:r>
              <w:rPr>
                <w:sz w:val="16"/>
              </w:rPr>
              <w:t>Investitionen</w:t>
            </w:r>
          </w:p>
        </w:tc>
        <w:tc>
          <w:tcPr>
            <w:tcW w:type="dxa" w:w="1950"/>
            <w:tcMar>
              <w:top w:w="55" w:type="dxa"/>
              <w:start w:w="55" w:type="dxa"/>
              <w:bottom w:w="55" w:type="dxa"/>
              <w:end w:w="55" w:type="dxa"/>
            </w:tcMar>
          </w:tcPr>
          <w:p>
            <w:pPr>
              <w:spacing w:after="0" w:before="0" w:line="230" w:lineRule="auto"/>
            </w:pPr>
            <w:r>
              <w:rPr>
                <w:sz w:val="16"/>
              </w:rPr>
              <w:t>2.000 EUR</w:t>
            </w:r>
          </w:p>
        </w:tc>
        <w:tc>
          <w:tcPr>
            <w:tcW w:type="dxa" w:w="1950"/>
            <w:tcMar>
              <w:top w:w="55" w:type="dxa"/>
              <w:start w:w="55" w:type="dxa"/>
              <w:bottom w:w="55" w:type="dxa"/>
              <w:end w:w="55" w:type="dxa"/>
            </w:tcMar>
          </w:tcPr>
          <w:p>
            <w:pPr>
              <w:spacing w:after="0" w:before="0" w:line="230" w:lineRule="auto"/>
            </w:pPr>
            <w:r>
              <w:rPr>
                <w:sz w:val="16"/>
              </w:rPr>
              <w:t>8.000 EUR</w:t>
            </w:r>
          </w:p>
        </w:tc>
        <w:tc>
          <w:tcPr>
            <w:tcW w:type="dxa" w:w="1950"/>
            <w:tcMar>
              <w:top w:w="55" w:type="dxa"/>
              <w:start w:w="55" w:type="dxa"/>
              <w:bottom w:w="55" w:type="dxa"/>
              <w:end w:w="55" w:type="dxa"/>
            </w:tcMar>
          </w:tcPr>
          <w:p>
            <w:pPr>
              <w:spacing w:after="0" w:before="0" w:line="230" w:lineRule="auto"/>
            </w:pPr>
            <w:r>
              <w:rPr>
                <w:sz w:val="16"/>
              </w:rPr>
              <w:t>15.000 EUR</w:t>
            </w:r>
          </w:p>
        </w:tc>
      </w:tr>
      <w:tr>
        <w:trPr>
          <w:cantSplit/>
        </w:trPr>
        <w:tc>
          <w:tcPr>
            <w:tcW w:type="dxa" w:w="3900"/>
            <w:shd w:fill="F8FAFC"/>
            <w:tcMar>
              <w:top w:w="55" w:type="dxa"/>
              <w:start w:w="55" w:type="dxa"/>
              <w:bottom w:w="55" w:type="dxa"/>
              <w:end w:w="55" w:type="dxa"/>
            </w:tcMar>
          </w:tcPr>
          <w:p>
            <w:pPr>
              <w:spacing w:after="0" w:line="230" w:lineRule="auto" w:before="0"/>
            </w:pPr>
            <w:r>
              <w:rPr>
                <w:rFonts w:ascii="Arial" w:hAnsi="Arial" w:eastAsia="Arial"/>
                <w:color w:val="243447"/>
                <w:sz w:val="16"/>
              </w:rPr>
              <w:t>Liquidität Jahresende</w:t>
            </w:r>
          </w:p>
        </w:tc>
        <w:tc>
          <w:tcPr>
            <w:tcW w:type="dxa" w:w="1950"/>
            <w:shd w:fill="F8FAFC"/>
            <w:tcMar>
              <w:top w:w="55" w:type="dxa"/>
              <w:start w:w="55" w:type="dxa"/>
              <w:bottom w:w="55" w:type="dxa"/>
              <w:end w:w="55" w:type="dxa"/>
            </w:tcMar>
          </w:tcPr>
          <w:p>
            <w:r>
              <w:t>siehe v1.6 Cash-Plan</w:t>
            </w:r>
          </w:p>
        </w:tc>
        <w:tc>
          <w:tcPr>
            <w:tcW w:type="dxa" w:w="1950"/>
            <w:shd w:fill="F8FAFC"/>
            <w:tcMar>
              <w:top w:w="55" w:type="dxa"/>
              <w:start w:w="55" w:type="dxa"/>
              <w:bottom w:w="55" w:type="dxa"/>
              <w:end w:w="55" w:type="dxa"/>
            </w:tcMar>
          </w:tcPr>
          <w:p>
            <w:r>
              <w:t>siehe v1.6 Cash-Plan</w:t>
            </w:r>
          </w:p>
        </w:tc>
        <w:tc>
          <w:tcPr>
            <w:tcW w:type="dxa" w:w="1950"/>
            <w:shd w:fill="F8FAFC"/>
            <w:tcMar>
              <w:top w:w="55" w:type="dxa"/>
              <w:start w:w="55" w:type="dxa"/>
              <w:bottom w:w="55" w:type="dxa"/>
              <w:end w:w="55" w:type="dxa"/>
            </w:tcMar>
          </w:tcPr>
          <w:p>
            <w:r>
              <w:t>siehe v1.6 Cash-Plan</w:t>
            </w:r>
          </w:p>
        </w:tc>
      </w:tr>
      <w:tr>
        <w:trPr>
          <w:cantSplit/>
        </w:trPr>
        <w:tc>
          <w:tcPr>
            <w:tcW w:type="dxa" w:w="3900"/>
            <w:tcMar>
              <w:top w:w="55" w:type="dxa"/>
              <w:start w:w="55" w:type="dxa"/>
              <w:bottom w:w="55" w:type="dxa"/>
              <w:end w:w="55" w:type="dxa"/>
            </w:tcMar>
          </w:tcPr>
          <w:p>
            <w:pPr>
              <w:spacing w:after="0" w:line="230" w:lineRule="auto" w:before="0"/>
            </w:pPr>
            <w:r>
              <w:rPr>
                <w:rFonts w:ascii="Arial" w:hAnsi="Arial" w:eastAsia="Arial"/>
                <w:color w:val="243447"/>
                <w:sz w:val="16"/>
              </w:rPr>
              <w:t>Management-Mindestliquidität</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10.000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15.000 EUR</w:t>
            </w:r>
          </w:p>
        </w:tc>
        <w:tc>
          <w:tcPr>
            <w:tcW w:type="dxa" w:w="1950"/>
            <w:tcMar>
              <w:top w:w="55" w:type="dxa"/>
              <w:start w:w="55" w:type="dxa"/>
              <w:bottom w:w="55" w:type="dxa"/>
              <w:end w:w="55" w:type="dxa"/>
            </w:tcMar>
          </w:tcPr>
          <w:p>
            <w:pPr>
              <w:spacing w:after="0" w:line="230" w:lineRule="auto" w:before="0"/>
            </w:pPr>
            <w:r>
              <w:rPr>
                <w:rFonts w:ascii="Arial" w:hAnsi="Arial" w:eastAsia="Arial"/>
                <w:color w:val="243447"/>
                <w:sz w:val="16"/>
              </w:rPr>
              <w:t>25.000 EUR</w:t>
            </w:r>
          </w:p>
        </w:tc>
      </w:tr>
    </w:tbl>
    <w:p>
      <w:pPr>
        <w:pStyle w:val="BodyText"/>
        <w:spacing w:after="44" w:before="0" w:line="245" w:lineRule="auto"/>
        <w:jc w:val="both"/>
      </w:pPr>
      <w:r>
        <w:rPr>
          <w:rFonts w:ascii="Arial" w:hAnsi="Arial" w:eastAsia="Arial"/>
          <w:i w:val="0"/>
          <w:color w:val="243447"/>
          <w:sz w:val="19"/>
        </w:rPr>
        <w:t>Die Liquiditätswerte beruhen auf einer Nettoplanung. Umsatzsteuer wird nicht als Ertrag behandelt und muss im operativen Bankkonten- und Voranmeldungsprozess separat gesperrt und termingerecht abgeführt werden. Vor Einreichung und laufend im Betrieb wird deshalb zusätzlich ein rollierender 13-Wochen-Cash-Forecast mit tatsächlichen Rechnungen, Zahlungszielen, Umsatzsteuer und Steuerterminen geführt.</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LIQUIDITÄT VOR WACHSTUM  </w:t>
      </w:r>
      <w:r>
        <w:rPr>
          <w:rFonts w:ascii="Arial" w:hAnsi="Arial" w:eastAsia="Arial"/>
          <w:color w:val="243447"/>
          <w:sz w:val="19"/>
        </w:rPr>
        <w:t>Solange die Startmittel nicht nachweisbar eingebracht sind oder die Mindestliquidität unterschritten wird, schließt AMAVIO keine neue langfristige Miet-, Personal- oder Lieferverpflichtung ab.</w:t>
      </w:r>
    </w:p>
    <w:p>
      <w:pPr>
        <w:pStyle w:val="Heading1"/>
        <w:keepNext/>
        <w:spacing w:before="140" w:after="80" w:line="240" w:lineRule="auto"/>
        <w:pBdr>
          <w:bottom w:val="single" w:sz="8" w:space="6" w:color="B08D57"/>
        </w:pBdr>
      </w:pPr>
      <w:r>
        <w:rPr>
          <w:rFonts w:ascii="Arial" w:hAnsi="Arial" w:eastAsia="Arial" w:cs="Arial"/>
          <w:b/>
          <w:color w:val="102A43"/>
          <w:sz w:val="32"/>
        </w:rPr>
        <w:t>10. Chancen, Risiken, Szenarien und Absicherung</w:t>
      </w:r>
    </w:p>
    <w:p>
      <w:pPr>
        <w:pStyle w:val="Heading2"/>
        <w:keepNext/>
        <w:pBdr>
          <w:bottom w:val="single" w:sz="8" w:space="6" w:color="B08D57"/>
        </w:pBdr>
        <w:spacing w:after="50" w:before="100" w:line="240" w:lineRule="auto"/>
      </w:pPr>
      <w:r>
        <w:rPr>
          <w:rFonts w:ascii="Arial" w:hAnsi="Arial" w:eastAsia="Arial" w:cs="Arial"/>
          <w:b/>
          <w:color w:val="1E3A5F"/>
          <w:sz w:val="24"/>
        </w:rPr>
        <w:t>Szenarioanalyse</w:t>
      </w:r>
    </w:p>
    <w:p>
      <w:pPr>
        <w:pStyle w:val="BodyText"/>
        <w:spacing w:after="44" w:before="0" w:line="245" w:lineRule="auto"/>
        <w:jc w:val="both"/>
      </w:pPr>
      <w:r>
        <w:rPr>
          <w:rFonts w:ascii="Arial" w:hAnsi="Arial" w:eastAsia="Arial"/>
          <w:i w:val="0"/>
          <w:color w:val="243447"/>
          <w:sz w:val="19"/>
        </w:rPr>
        <w:t>Die Szenarioanalyse prüft nicht nur Umsatzschwankungen, sondern die Reaktion der Kosten- und Personalstruktur. Im Downside werden im ersten Jahr lediglich 45 Prozent des Basisumsatzes erreicht; Einstellungen werden verzögert und der Gründerbezug angepasst. Der Betreiberaufbau bleibt in allen Szenarien außerhalb der Planung. Der Downside ist damit ein echter Test des kapitalarmen Kerns und keine durch Objektumsätze künstlich stabilisierte Rechnung.</w:t>
      </w:r>
    </w:p>
    <w:tbl>
      <w:tblPr>
        <w:tblW w:type="dxa" w:w="104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00"/>
        <w:gridCol w:w="1700"/>
        <w:gridCol w:w="1700"/>
        <w:gridCol w:w="1700"/>
        <w:gridCol w:w="2650"/>
      </w:tblGrid>
      <w:tr>
        <w:trPr>
          <w:tblHeader/>
        </w:trPr>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Szenario</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1</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2</w:t>
            </w:r>
          </w:p>
        </w:tc>
        <w:tc>
          <w:tcPr>
            <w:tcW w:type="dxa" w:w="1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Planjahr 3</w:t>
            </w:r>
          </w:p>
        </w:tc>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Konsequenz</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Downside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41.400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147.950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309.400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kleiner Start, verzögerte Einstellungen</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Downside · Ergebnis n. Steuer</w:t>
            </w:r>
          </w:p>
        </w:tc>
        <w:tc>
          <w:tcPr>
            <w:tcW w:type="dxa" w:w="1700"/>
            <w:shd w:fill="F8FAFC"/>
            <w:tcMar>
              <w:top w:w="55" w:type="dxa"/>
              <w:start w:w="55" w:type="dxa"/>
              <w:bottom w:w="55" w:type="dxa"/>
              <w:end w:w="55" w:type="dxa"/>
            </w:tcMar>
          </w:tcPr>
          <w:p>
            <w:pPr>
              <w:spacing w:after="0" w:before="0" w:line="230" w:lineRule="auto"/>
            </w:pPr>
            <w:r>
              <w:rPr>
                <w:sz w:val="16"/>
              </w:rPr>
              <w:t>− 15.282 EUR</w:t>
            </w:r>
          </w:p>
        </w:tc>
        <w:tc>
          <w:tcPr>
            <w:tcW w:type="dxa" w:w="1700"/>
            <w:shd w:fill="F8FAFC"/>
            <w:tcMar>
              <w:top w:w="55" w:type="dxa"/>
              <w:start w:w="55" w:type="dxa"/>
              <w:bottom w:w="55" w:type="dxa"/>
              <w:end w:w="55" w:type="dxa"/>
            </w:tcMar>
          </w:tcPr>
          <w:p>
            <w:pPr>
              <w:spacing w:after="0" w:before="0" w:line="230" w:lineRule="auto"/>
            </w:pPr>
            <w:r>
              <w:rPr>
                <w:sz w:val="16"/>
              </w:rPr>
              <w:t>32.815 EUR</w:t>
            </w:r>
          </w:p>
        </w:tc>
        <w:tc>
          <w:tcPr>
            <w:tcW w:type="dxa" w:w="1700"/>
            <w:shd w:fill="F8FAFC"/>
            <w:tcMar>
              <w:top w:w="55" w:type="dxa"/>
              <w:start w:w="55" w:type="dxa"/>
              <w:bottom w:w="55" w:type="dxa"/>
              <w:end w:w="55" w:type="dxa"/>
            </w:tcMar>
          </w:tcPr>
          <w:p>
            <w:pPr>
              <w:spacing w:after="0" w:before="0" w:line="230" w:lineRule="auto"/>
            </w:pPr>
            <w:r>
              <w:rPr>
                <w:sz w:val="16"/>
              </w:rPr>
              <w:t>73.856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Kosten- und Vergütungsdisziplin bleibt zwingend</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Base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92.000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269.000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442.000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Mandats- und Kapazitätsplan wie beschrieben</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Base · Ergebnis n. Steuer</w:t>
            </w:r>
          </w:p>
        </w:tc>
        <w:tc>
          <w:tcPr>
            <w:tcW w:type="dxa" w:w="1700"/>
            <w:shd w:fill="F8FAFC"/>
            <w:tcMar>
              <w:top w:w="55" w:type="dxa"/>
              <w:start w:w="55" w:type="dxa"/>
              <w:bottom w:w="55" w:type="dxa"/>
              <w:end w:w="55" w:type="dxa"/>
            </w:tcMar>
          </w:tcPr>
          <w:p>
            <w:pPr>
              <w:spacing w:after="0" w:before="0" w:line="230" w:lineRule="auto"/>
            </w:pPr>
            <w:r>
              <w:rPr>
                <w:sz w:val="16"/>
              </w:rPr>
              <w:t>22.120 EUR</w:t>
            </w:r>
          </w:p>
        </w:tc>
        <w:tc>
          <w:tcPr>
            <w:tcW w:type="dxa" w:w="1700"/>
            <w:shd w:fill="F8FAFC"/>
            <w:tcMar>
              <w:top w:w="55" w:type="dxa"/>
              <w:start w:w="55" w:type="dxa"/>
              <w:bottom w:w="55" w:type="dxa"/>
              <w:end w:w="55" w:type="dxa"/>
            </w:tcMar>
          </w:tcPr>
          <w:p>
            <w:pPr>
              <w:spacing w:after="0" w:before="0" w:line="230" w:lineRule="auto"/>
            </w:pPr>
            <w:r>
              <w:rPr>
                <w:sz w:val="16"/>
              </w:rPr>
              <w:t>78.515 EUR</w:t>
            </w:r>
          </w:p>
        </w:tc>
        <w:tc>
          <w:tcPr>
            <w:tcW w:type="dxa" w:w="1700"/>
            <w:shd w:fill="F8FAFC"/>
            <w:tcMar>
              <w:top w:w="55" w:type="dxa"/>
              <w:start w:w="55" w:type="dxa"/>
              <w:bottom w:w="55" w:type="dxa"/>
              <w:end w:w="55" w:type="dxa"/>
            </w:tcMar>
          </w:tcPr>
          <w:p>
            <w:pPr>
              <w:spacing w:after="0" w:before="0" w:line="230" w:lineRule="auto"/>
            </w:pPr>
            <w:r>
              <w:rPr>
                <w:sz w:val="16"/>
              </w:rPr>
              <w:t>112.600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interne Finanzierung des Wachstums möglich</w:t>
            </w:r>
          </w:p>
        </w:tc>
      </w:tr>
      <w:tr>
        <w:trPr>
          <w:cantSplit/>
        </w:trPr>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Upside · Umsatz</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105.800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322.800 EUR</w:t>
            </w:r>
          </w:p>
        </w:tc>
        <w:tc>
          <w:tcPr>
            <w:tcW w:type="dxa" w:w="1700"/>
            <w:tcMar>
              <w:top w:w="55" w:type="dxa"/>
              <w:start w:w="55" w:type="dxa"/>
              <w:bottom w:w="55" w:type="dxa"/>
              <w:end w:w="55" w:type="dxa"/>
            </w:tcMar>
          </w:tcPr>
          <w:p>
            <w:pPr>
              <w:spacing w:after="0" w:line="230" w:lineRule="auto" w:before="0"/>
            </w:pPr>
            <w:r>
              <w:rPr>
                <w:rFonts w:ascii="Arial" w:hAnsi="Arial" w:eastAsia="Arial"/>
                <w:color w:val="243447"/>
                <w:sz w:val="16"/>
              </w:rPr>
              <w:t>508.300 EUR</w:t>
            </w:r>
          </w:p>
        </w:tc>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nur mit zusätzlicher Delivery-Kapazität</w:t>
            </w:r>
          </w:p>
        </w:tc>
      </w:tr>
      <w:tr>
        <w:trPr>
          <w:cantSplit/>
        </w:trPr>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Upside · Ergebnis n. Steuer</w:t>
            </w:r>
          </w:p>
        </w:tc>
        <w:tc>
          <w:tcPr>
            <w:tcW w:type="dxa" w:w="1700"/>
            <w:shd w:fill="F8FAFC"/>
            <w:tcMar>
              <w:top w:w="55" w:type="dxa"/>
              <w:start w:w="55" w:type="dxa"/>
              <w:bottom w:w="55" w:type="dxa"/>
              <w:end w:w="55" w:type="dxa"/>
            </w:tcMar>
          </w:tcPr>
          <w:p>
            <w:pPr>
              <w:spacing w:after="0" w:before="0" w:line="230" w:lineRule="auto"/>
            </w:pPr>
            <w:r>
              <w:rPr>
                <w:sz w:val="16"/>
              </w:rPr>
              <w:t>35.533 EUR</w:t>
            </w:r>
          </w:p>
        </w:tc>
        <w:tc>
          <w:tcPr>
            <w:tcW w:type="dxa" w:w="1700"/>
            <w:shd w:fill="F8FAFC"/>
            <w:tcMar>
              <w:top w:w="55" w:type="dxa"/>
              <w:start w:w="55" w:type="dxa"/>
              <w:bottom w:w="55" w:type="dxa"/>
              <w:end w:w="55" w:type="dxa"/>
            </w:tcMar>
          </w:tcPr>
          <w:p>
            <w:pPr>
              <w:spacing w:after="0" w:before="0" w:line="230" w:lineRule="auto"/>
            </w:pPr>
            <w:r>
              <w:rPr>
                <w:sz w:val="16"/>
              </w:rPr>
              <w:t>124.485 EUR</w:t>
            </w:r>
          </w:p>
        </w:tc>
        <w:tc>
          <w:tcPr>
            <w:tcW w:type="dxa" w:w="1700"/>
            <w:shd w:fill="F8FAFC"/>
            <w:tcMar>
              <w:top w:w="55" w:type="dxa"/>
              <w:start w:w="55" w:type="dxa"/>
              <w:bottom w:w="55" w:type="dxa"/>
              <w:end w:w="55" w:type="dxa"/>
            </w:tcMar>
          </w:tcPr>
          <w:p>
            <w:pPr>
              <w:spacing w:after="0" w:before="0" w:line="230" w:lineRule="auto"/>
            </w:pPr>
            <w:r>
              <w:rPr>
                <w:sz w:val="16"/>
              </w:rPr>
              <w:t>158.460 EUR</w:t>
            </w:r>
          </w:p>
        </w:tc>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Reserve vor Objekt- oder Produktinvestition</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DOWNSIDE-REGEL  </w:t>
      </w:r>
      <w:r>
        <w:rPr>
          <w:rFonts w:ascii="Arial" w:hAnsi="Arial" w:eastAsia="Arial"/>
          <w:color w:val="243447"/>
          <w:sz w:val="19"/>
        </w:rPr>
        <w:t>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pPr>
        <w:pStyle w:val="Heading2"/>
        <w:keepNext/>
        <w:pBdr>
          <w:bottom w:val="single" w:sz="8" w:space="6" w:color="B08D57"/>
        </w:pBdr>
        <w:spacing w:after="50" w:before="100" w:line="240" w:lineRule="auto"/>
      </w:pPr>
      <w:r>
        <w:rPr>
          <w:rFonts w:ascii="Arial" w:hAnsi="Arial" w:eastAsia="Arial" w:cs="Arial"/>
          <w:b/>
          <w:color w:val="1E3A5F"/>
          <w:sz w:val="24"/>
        </w:rPr>
        <w:t>Zentrales Risikoregister</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200"/>
        <w:gridCol w:w="2450"/>
        <w:gridCol w:w="2250"/>
        <w:gridCol w:w="2850"/>
      </w:tblGrid>
      <w:tr>
        <w:trPr>
          <w:tblHeader/>
        </w:trPr>
        <w:tc>
          <w:tcPr>
            <w:tcW w:type="dxa" w:w="22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Risiko</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Frühindikator</w:t>
            </w:r>
          </w:p>
        </w:tc>
        <w:tc>
          <w:tcPr>
            <w:tcW w:type="dxa" w:w="2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Auswirkung</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Absicherung</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Langer B2B-Vertrieb / verschobene Aufträge</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Entscheidung &gt; 30 Tage ohne nächsten Termin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Umsatz- und Liquiditätslücke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breite Pipeline, bezahlter Blueprint-Einstieg, Kosten variabel halten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Kundenkonzentration</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ein Kunde &gt; 40 % des Jahresumsatzes</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Abhängigkeit und Preisdruck</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zweiter Ankerkunde, keine ungedeckten kundenspezifischen Fixkosten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Zahlungsverzug</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Zahlungsziel überschritten</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Projektvorfinanzierung</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Meilensteinzahlung, kurze Ziele, Leistungsstopp nach Vertrag</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Scope Creep</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Ist-Stunden &gt; 110 %</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Margen- und Kapazitätsverlust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Scope, Revisionen, Change Request und Nachkalkulation</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Gründerabhängigkeit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kritische Information nur beim Gründer</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Ausfall- und Skalierungsrisiko</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CRM, Projektakte, Vertretung, dokumentierte Freigaben</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Partner-/Lieferausfall</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Termin- oder Qualitätsabweichung</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Einzug oder Kundenbeziehung gefährdet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Ersatzpartner, SLAs, Meilensteine, Gewährleistung</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Datenschutz / IT-Sicherheit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unzulässige Freigabe oder Datenkategorie</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Bußgeld, Schaden, Vertrauensverlust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Datenminimierung, Rollen, AV-Verträge, Zugriff, Incident-Prozess</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Rechts-/Leistungsgrenze</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ungeklärte Beratung, Nutzung oder Haftung</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Vertrag, Genehmigung oder Haftung gefährdet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befugte Fachpartner, dokumentierte Freigabe, klare Ausschlüsse</w:t>
            </w:r>
          </w:p>
        </w:tc>
      </w:tr>
      <w:tr>
        <w:trPr>
          <w:cantSplit/>
        </w:trPr>
        <w:tc>
          <w:tcPr>
            <w:tcW w:type="dxa" w:w="2200"/>
            <w:tcMar>
              <w:top w:w="55" w:type="dxa"/>
              <w:start w:w="55" w:type="dxa"/>
              <w:bottom w:w="55" w:type="dxa"/>
              <w:end w:w="55" w:type="dxa"/>
            </w:tcMar>
          </w:tcPr>
          <w:p>
            <w:pPr>
              <w:spacing w:after="0" w:line="230" w:lineRule="auto" w:before="0"/>
            </w:pPr>
            <w:r>
              <w:rPr>
                <w:rFonts w:ascii="Arial" w:hAnsi="Arial" w:eastAsia="Arial"/>
                <w:color w:val="243447"/>
                <w:sz w:val="16"/>
              </w:rPr>
              <w:t>Reputation und Bewohnerschutz</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Beschwerde, Sicherheits- oder Diskriminierungsfall</w:t>
            </w:r>
          </w:p>
        </w:tc>
        <w:tc>
          <w:tcPr>
            <w:tcW w:type="dxa" w:w="2250"/>
            <w:tcMar>
              <w:top w:w="55" w:type="dxa"/>
              <w:start w:w="55" w:type="dxa"/>
              <w:bottom w:w="55" w:type="dxa"/>
              <w:end w:w="55" w:type="dxa"/>
            </w:tcMar>
          </w:tcPr>
          <w:p>
            <w:pPr>
              <w:spacing w:after="0" w:line="230" w:lineRule="auto" w:before="0"/>
            </w:pPr>
            <w:r>
              <w:rPr>
                <w:rFonts w:ascii="Arial" w:hAnsi="Arial" w:eastAsia="Arial"/>
                <w:color w:val="243447"/>
                <w:sz w:val="16"/>
              </w:rPr>
              <w:t>Kunden- und Personenschaden</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Beschwerdekanal, Eskalation, Haus-/Schutzkonzept, faire Standards</w:t>
            </w:r>
          </w:p>
        </w:tc>
      </w:tr>
      <w:tr>
        <w:trPr>
          <w:cantSplit/>
        </w:trPr>
        <w:tc>
          <w:tcPr>
            <w:tcW w:type="dxa" w:w="2200"/>
            <w:shd w:fill="F8FAFC"/>
            <w:tcMar>
              <w:top w:w="55" w:type="dxa"/>
              <w:start w:w="55" w:type="dxa"/>
              <w:bottom w:w="55" w:type="dxa"/>
              <w:end w:w="55" w:type="dxa"/>
            </w:tcMar>
          </w:tcPr>
          <w:p>
            <w:pPr>
              <w:spacing w:after="0" w:line="230" w:lineRule="auto" w:before="0"/>
            </w:pPr>
            <w:r>
              <w:rPr>
                <w:rFonts w:ascii="Arial" w:hAnsi="Arial" w:eastAsia="Arial"/>
                <w:color w:val="243447"/>
                <w:sz w:val="16"/>
              </w:rPr>
              <w:t>Objektleerstand / Mietbindung</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Nachfrage oder Nutzung nicht gesichert</w:t>
            </w:r>
          </w:p>
        </w:tc>
        <w:tc>
          <w:tcPr>
            <w:tcW w:type="dxa" w:w="2250"/>
            <w:shd w:fill="F8FAFC"/>
            <w:tcMar>
              <w:top w:w="55" w:type="dxa"/>
              <w:start w:w="55" w:type="dxa"/>
              <w:bottom w:w="55" w:type="dxa"/>
              <w:end w:w="55" w:type="dxa"/>
            </w:tcMar>
          </w:tcPr>
          <w:p>
            <w:pPr>
              <w:spacing w:after="0" w:line="230" w:lineRule="auto" w:before="0"/>
            </w:pPr>
            <w:r>
              <w:rPr>
                <w:rFonts w:ascii="Arial" w:hAnsi="Arial" w:eastAsia="Arial"/>
                <w:color w:val="243447"/>
                <w:sz w:val="16"/>
              </w:rPr>
              <w:t>hohe Fixkosten und Kapitalverlust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kein Objekt ohne 20-%-Stresscase, sechs Fixkostenmonate Reserve und Exit</w:t>
            </w:r>
          </w:p>
        </w:tc>
      </w:tr>
    </w:tbl>
    <w:p>
      <w:pPr>
        <w:pStyle w:val="Heading3"/>
        <w:keepNext/>
        <w:spacing w:after="30" w:before="70" w:line="240" w:lineRule="auto"/>
      </w:pPr>
      <w:r>
        <w:rPr>
          <w:rFonts w:ascii="Arial" w:hAnsi="Arial" w:eastAsia="Arial" w:cs="Arial"/>
          <w:b/>
          <w:color w:val="102A43"/>
          <w:sz w:val="20"/>
        </w:rPr>
        <w:t>Risiken aus Finanzierung, Steuer und Insolvenz</w:t>
      </w:r>
    </w:p>
    <w:p>
      <w:pPr>
        <w:pStyle w:val="BodyText"/>
        <w:spacing w:after="44" w:before="0" w:line="245" w:lineRule="auto"/>
        <w:jc w:val="both"/>
      </w:pPr>
      <w:r>
        <w:rPr>
          <w:rFonts w:ascii="Arial" w:hAnsi="Arial" w:eastAsia="Arial"/>
          <w:i w:val="0"/>
          <w:color w:val="243447"/>
          <w:sz w:val="19"/>
        </w:rPr>
        <w:t>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pPr>
        <w:pStyle w:val="BodyText"/>
        <w:spacing w:after="44" w:before="0" w:line="245" w:lineRule="auto"/>
        <w:jc w:val="both"/>
      </w:pPr>
      <w:r>
        <w:rPr>
          <w:rFonts w:ascii="Arial" w:hAnsi="Arial" w:eastAsia="Arial"/>
          <w:i w:val="0"/>
          <w:color w:val="243447"/>
          <w:sz w:val="19"/>
        </w:rPr>
        <w:t>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pPr>
        <w:pStyle w:val="Heading2"/>
        <w:keepNext/>
        <w:pBdr>
          <w:bottom w:val="single" w:sz="8" w:space="6" w:color="B08D57"/>
        </w:pBdr>
        <w:spacing w:after="50" w:before="100" w:line="240" w:lineRule="auto"/>
      </w:pPr>
      <w:r>
        <w:rPr>
          <w:rFonts w:ascii="Arial" w:hAnsi="Arial" w:eastAsia="Arial" w:cs="Arial"/>
          <w:b/>
          <w:color w:val="1E3A5F"/>
          <w:sz w:val="24"/>
        </w:rPr>
        <w:t>Chancen und kontrollierte Wachstumsoptionen</w:t>
      </w:r>
    </w:p>
    <w:tbl>
      <w:tblPr>
        <w:tblW w:type="dxa" w:w="950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750"/>
        <w:gridCol w:w="3500"/>
        <w:gridCol w:w="3250"/>
      </w:tblGrid>
      <w:tr>
        <w:trPr>
          <w:tblHeader/>
        </w:trPr>
        <w:tc>
          <w:tcPr>
            <w:tcW w:type="dxa" w:w="2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Chance</w:t>
            </w:r>
          </w:p>
        </w:tc>
        <w:tc>
          <w:tcPr>
            <w:tcW w:type="dxa" w:w="35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Werttreiber</w:t>
            </w:r>
          </w:p>
        </w:tc>
        <w:tc>
          <w:tcPr>
            <w:tcW w:type="dxa" w:w="32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Nachweis vor Skalierung</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Housing &amp; Arrival Office</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wiederkehrender Umsatz und tiefere Kundenbindung</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mindestens ein bezahlter Betrieb mit belastbaren Fall- und Zeitdaten</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Folgegruppen und weitere Standorte</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geringere Akquisekosten und wiederverwendbare Standards</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erneuter Scope-/Kapazitätscheck je Gruppe und Standort</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Partnernetzwerk</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schnellere Supply-, Möbel- und Vor-Ort-Koordination</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Qualität, Preis, Ersatzfähigkeit und transparente Interessen</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Digitale Workflows / Welcome OS</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weniger Statusaufwand und bessere Transparenz</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drei wiederkehrende Kundenworkflows und finanziertes MVP</w:t>
            </w:r>
          </w:p>
        </w:tc>
      </w:tr>
      <w:tr>
        <w:trPr>
          <w:cantSplit/>
        </w:trPr>
        <w:tc>
          <w:tcPr>
            <w:tcW w:type="dxa" w:w="2750"/>
            <w:tcMar>
              <w:top w:w="55" w:type="dxa"/>
              <w:start w:w="55" w:type="dxa"/>
              <w:bottom w:w="55" w:type="dxa"/>
              <w:end w:w="55" w:type="dxa"/>
            </w:tcMar>
          </w:tcPr>
          <w:p>
            <w:pPr>
              <w:spacing w:after="0" w:line="230" w:lineRule="auto" w:before="0"/>
            </w:pPr>
            <w:r>
              <w:rPr>
                <w:rFonts w:ascii="Arial" w:hAnsi="Arial" w:eastAsia="Arial"/>
                <w:color w:val="243447"/>
                <w:sz w:val="16"/>
              </w:rPr>
              <w:t>Selektiver Objektpilot</w:t>
            </w:r>
          </w:p>
        </w:tc>
        <w:tc>
          <w:tcPr>
            <w:tcW w:type="dxa" w:w="3500"/>
            <w:tcMar>
              <w:top w:w="55" w:type="dxa"/>
              <w:start w:w="55" w:type="dxa"/>
              <w:bottom w:w="55" w:type="dxa"/>
              <w:end w:w="55" w:type="dxa"/>
            </w:tcMar>
          </w:tcPr>
          <w:p>
            <w:pPr>
              <w:spacing w:after="0" w:line="230" w:lineRule="auto" w:before="0"/>
            </w:pPr>
            <w:r>
              <w:rPr>
                <w:rFonts w:ascii="Arial" w:hAnsi="Arial" w:eastAsia="Arial"/>
                <w:color w:val="243447"/>
                <w:sz w:val="16"/>
              </w:rPr>
              <w:t>zusätzlicher wiederkehrender Wohnumsatz</w:t>
            </w:r>
          </w:p>
        </w:tc>
        <w:tc>
          <w:tcPr>
            <w:tcW w:type="dxa" w:w="3250"/>
            <w:tcMar>
              <w:top w:w="55" w:type="dxa"/>
              <w:start w:w="55" w:type="dxa"/>
              <w:bottom w:w="55" w:type="dxa"/>
              <w:end w:w="55" w:type="dxa"/>
            </w:tcMar>
          </w:tcPr>
          <w:p>
            <w:pPr>
              <w:spacing w:after="0" w:line="230" w:lineRule="auto" w:before="0"/>
            </w:pPr>
            <w:r>
              <w:rPr>
                <w:rFonts w:ascii="Arial" w:hAnsi="Arial" w:eastAsia="Arial"/>
                <w:color w:val="243447"/>
                <w:sz w:val="16"/>
              </w:rPr>
              <w:t>Ankerkunden, zulässige Nutzung, 20-%-Stresscase, sechs Fixkostenmonate Reserve</w:t>
            </w:r>
          </w:p>
        </w:tc>
      </w:tr>
      <w:tr>
        <w:trPr>
          <w:cantSplit/>
        </w:trPr>
        <w:tc>
          <w:tcPr>
            <w:tcW w:type="dxa" w:w="2750"/>
            <w:shd w:fill="F8FAFC"/>
            <w:tcMar>
              <w:top w:w="55" w:type="dxa"/>
              <w:start w:w="55" w:type="dxa"/>
              <w:bottom w:w="55" w:type="dxa"/>
              <w:end w:w="55" w:type="dxa"/>
            </w:tcMar>
          </w:tcPr>
          <w:p>
            <w:pPr>
              <w:spacing w:after="0" w:line="230" w:lineRule="auto" w:before="0"/>
            </w:pPr>
            <w:r>
              <w:rPr>
                <w:rFonts w:ascii="Arial" w:hAnsi="Arial" w:eastAsia="Arial"/>
                <w:color w:val="243447"/>
                <w:sz w:val="16"/>
              </w:rPr>
              <w:t>Kinderbetreuungsmodul</w:t>
            </w:r>
          </w:p>
        </w:tc>
        <w:tc>
          <w:tcPr>
            <w:tcW w:type="dxa" w:w="3500"/>
            <w:shd w:fill="F8FAFC"/>
            <w:tcMar>
              <w:top w:w="55" w:type="dxa"/>
              <w:start w:w="55" w:type="dxa"/>
              <w:bottom w:w="55" w:type="dxa"/>
              <w:end w:w="55" w:type="dxa"/>
            </w:tcMar>
          </w:tcPr>
          <w:p>
            <w:pPr>
              <w:spacing w:after="0" w:line="230" w:lineRule="auto" w:before="0"/>
            </w:pPr>
            <w:r>
              <w:rPr>
                <w:rFonts w:ascii="Arial" w:hAnsi="Arial" w:eastAsia="Arial"/>
                <w:color w:val="243447"/>
                <w:sz w:val="16"/>
              </w:rPr>
              <w:t>stärkeres Arbeitgeberangebot</w:t>
            </w:r>
          </w:p>
        </w:tc>
        <w:tc>
          <w:tcPr>
            <w:tcW w:type="dxa" w:w="3250"/>
            <w:shd w:fill="F8FAFC"/>
            <w:tcMar>
              <w:top w:w="55" w:type="dxa"/>
              <w:start w:w="55" w:type="dxa"/>
              <w:bottom w:w="55" w:type="dxa"/>
              <w:end w:w="55" w:type="dxa"/>
            </w:tcMar>
          </w:tcPr>
          <w:p>
            <w:pPr>
              <w:spacing w:after="0" w:line="230" w:lineRule="auto" w:before="0"/>
            </w:pPr>
            <w:r>
              <w:rPr>
                <w:rFonts w:ascii="Arial" w:hAnsi="Arial" w:eastAsia="Arial"/>
                <w:color w:val="243447"/>
                <w:sz w:val="16"/>
              </w:rPr>
              <w:t>separater Bedarf, Betreiber-, Genehmigungs-, Finanzierungs- und Haftungskonzept</w:t>
            </w:r>
          </w:p>
        </w:tc>
      </w:tr>
    </w:tbl>
    <w:p>
      <w:pPr>
        <w:spacing w:before="0" w:after="44" w:line="245" w:lineRule="auto"/>
        <w:shd w:fill="F7F3EA"/>
        <w:pBdr>
          <w:left w:val="single" w:sz="18" w:space="10" w:color="B08D57"/>
        </w:pBdr>
        <w:ind w:left="180" w:right="120"/>
      </w:pPr>
      <w:r>
        <w:rPr>
          <w:rFonts w:ascii="Arial" w:hAnsi="Arial" w:eastAsia="Arial"/>
          <w:b/>
          <w:color w:val="B08D57"/>
          <w:sz w:val="19"/>
        </w:rPr>
        <w:t xml:space="preserve">CHANCENREGEL  </w:t>
      </w:r>
      <w:r>
        <w:rPr>
          <w:rFonts w:ascii="Arial" w:hAnsi="Arial" w:eastAsia="Arial"/>
          <w:color w:val="243447"/>
          <w:sz w:val="19"/>
        </w:rPr>
        <w:t>Eine Wachstumsoption wird erst dann Teil des Basiscase, wenn sie einen benannten Kunden, ein definiertes Leistungsbild, eine belastbare Kalkulation, verantwortliche Delivery-Kapazität und eine gesicherte Finanzierung besitzt.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5050"/>
        <w:gridCol w:w="285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Rhythmus</w:t>
            </w:r>
          </w:p>
        </w:tc>
        <w:tc>
          <w:tcPr>
            <w:tcW w:type="dxa" w:w="50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Prüfung</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Bank, Forderungen, Projektstunden, offene Freigaben und kritische Fälle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Eskalieren, pausieren oder priorisieren</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5050"/>
            <w:shd w:fill="F8FAFC"/>
            <w:tcMar>
              <w:top w:w="55" w:type="dxa"/>
              <w:start w:w="55" w:type="dxa"/>
              <w:bottom w:w="55" w:type="dxa"/>
              <w:end w:w="55" w:type="dxa"/>
            </w:tcMar>
          </w:tcPr>
          <w:p>
            <w:pPr>
              <w:spacing w:after="0" w:line="230" w:lineRule="auto" w:before="0"/>
            </w:pPr>
            <w:r>
              <w:rPr>
                <w:rFonts w:ascii="Arial" w:hAnsi="Arial" w:eastAsia="Arial"/>
                <w:color w:val="243447"/>
                <w:sz w:val="16"/>
              </w:rPr>
              <w:t>BWA, 13-Wochen-Cash, Pipeline, Auftragsbestand, Konzentration und Kapazität</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Forecast, Kosten und Personalplan aktualisieren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Je Meilenstein</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Abnahme, Zahlung, Budget, Fremdkosten, Scope und Termin</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nächste Phase freigeben oder Change Request</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Quartalsweise</w:t>
            </w:r>
          </w:p>
        </w:tc>
        <w:tc>
          <w:tcPr>
            <w:tcW w:type="dxa" w:w="5050"/>
            <w:shd w:fill="F8FAFC"/>
            <w:tcMar>
              <w:top w:w="55" w:type="dxa"/>
              <w:start w:w="55" w:type="dxa"/>
              <w:bottom w:w="55" w:type="dxa"/>
              <w:end w:w="55" w:type="dxa"/>
            </w:tcMar>
          </w:tcPr>
          <w:p>
            <w:pPr>
              <w:spacing w:after="0" w:line="230" w:lineRule="auto" w:before="0"/>
            </w:pPr>
            <w:r>
              <w:rPr>
                <w:rFonts w:ascii="Arial" w:hAnsi="Arial" w:eastAsia="Arial"/>
                <w:color w:val="243447"/>
                <w:sz w:val="16"/>
              </w:rPr>
              <w:t>Szenario, Versicherungen, Partner, Datenschutz und Qualitäts-KPIs</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Standards und Reserven anpassen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Vor Objekt/Personal/IT</w:t>
            </w:r>
          </w:p>
        </w:tc>
        <w:tc>
          <w:tcPr>
            <w:tcW w:type="dxa" w:w="5050"/>
            <w:tcMar>
              <w:top w:w="55" w:type="dxa"/>
              <w:start w:w="55" w:type="dxa"/>
              <w:bottom w:w="55" w:type="dxa"/>
              <w:end w:w="55" w:type="dxa"/>
            </w:tcMar>
          </w:tcPr>
          <w:p>
            <w:pPr>
              <w:spacing w:after="0" w:line="230" w:lineRule="auto" w:before="0"/>
            </w:pPr>
            <w:r>
              <w:rPr>
                <w:rFonts w:ascii="Arial" w:hAnsi="Arial" w:eastAsia="Arial"/>
                <w:color w:val="243447"/>
                <w:sz w:val="16"/>
              </w:rPr>
              <w:t>separates Investitionspapier mit Downside und Exit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Go/No-Go durch Geschäftsführung nach Fachprüfung</w:t>
            </w:r>
          </w:p>
        </w:tc>
      </w:tr>
    </w:tbl>
    <w:p>
      <w:pPr>
        <w:pStyle w:val="Heading1"/>
        <w:keepNext/>
        <w:spacing w:before="140" w:after="80" w:line="240" w:lineRule="auto"/>
        <w:pBdr>
          <w:bottom w:val="single" w:sz="8" w:space="6" w:color="B08D57"/>
        </w:pBdr>
      </w:pPr>
      <w:r>
        <w:rPr>
          <w:rFonts w:ascii="Arial" w:hAnsi="Arial" w:eastAsia="Arial" w:cs="Arial"/>
          <w:b/>
          <w:color w:val="102A43"/>
          <w:sz w:val="32"/>
        </w:rPr>
        <w:t>11. Meilenstein- und Wachstumsplanung</w:t>
      </w:r>
    </w:p>
    <w:p>
      <w:pPr>
        <w:pStyle w:val="Heading2"/>
        <w:keepNext/>
        <w:pBdr>
          <w:bottom w:val="single" w:sz="8" w:space="6" w:color="B08D57"/>
        </w:pBdr>
        <w:spacing w:after="50" w:before="100" w:line="240" w:lineRule="auto"/>
      </w:pPr>
      <w:r>
        <w:rPr>
          <w:rFonts w:ascii="Arial" w:hAnsi="Arial" w:eastAsia="Arial" w:cs="Arial"/>
          <w:b/>
          <w:color w:val="1E3A5F"/>
          <w:sz w:val="24"/>
        </w:rPr>
        <w:t>Wachstumsprinzip: Beleg vor Bindung</w:t>
      </w:r>
    </w:p>
    <w:p>
      <w:pPr>
        <w:pStyle w:val="BodyText"/>
        <w:spacing w:after="44" w:before="0" w:line="245" w:lineRule="auto"/>
        <w:jc w:val="both"/>
      </w:pPr>
      <w:r>
        <w:rPr>
          <w:rFonts w:ascii="Arial" w:hAnsi="Arial" w:eastAsia="Arial"/>
          <w:i w:val="0"/>
          <w:color w:val="243447"/>
          <w:sz w:val="19"/>
        </w:rPr>
        <w:t>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pPr>
        <w:pStyle w:val="BodyText"/>
        <w:spacing w:after="44" w:before="0" w:line="245" w:lineRule="auto"/>
        <w:jc w:val="both"/>
      </w:pPr>
      <w:r>
        <w:rPr>
          <w:rFonts w:ascii="Arial" w:hAnsi="Arial" w:eastAsia="Arial"/>
          <w:i w:val="0"/>
          <w:color w:val="243447"/>
          <w:sz w:val="19"/>
        </w:rPr>
        <w:t>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VERBINDLICHE REIHENFOLGE  </w:t>
      </w:r>
      <w:r>
        <w:rPr>
          <w:rFonts w:ascii="Arial" w:hAnsi="Arial" w:eastAsia="Arial"/>
          <w:color w:val="243447"/>
          <w:sz w:val="19"/>
        </w:rPr>
        <w:t>Referenzfähige Delivery kommt vor Personalaufbau; wiederkehrende Workflows kommen vor Eigenentwicklung; gesicherte Nachfrage, zulässige Nutzung und eigener Stresscase kommen vor Objektbindung.</w:t>
      </w:r>
    </w:p>
    <w:p>
      <w:pPr>
        <w:pStyle w:val="Heading2"/>
        <w:keepNext/>
        <w:pBdr>
          <w:bottom w:val="single" w:sz="8" w:space="6" w:color="B08D57"/>
        </w:pBdr>
        <w:spacing w:after="50" w:before="100" w:line="240" w:lineRule="auto"/>
      </w:pPr>
      <w:r>
        <w:rPr>
          <w:rFonts w:ascii="Arial" w:hAnsi="Arial" w:eastAsia="Arial" w:cs="Arial"/>
          <w:b/>
          <w:color w:val="1E3A5F"/>
          <w:sz w:val="24"/>
        </w:rPr>
        <w:t>36-Monats-Roadmap</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50"/>
        <w:gridCol w:w="1750"/>
        <w:gridCol w:w="3450"/>
        <w:gridCol w:w="2700"/>
      </w:tblGrid>
      <w:tr>
        <w:trPr>
          <w:tblHeader/>
        </w:trPr>
        <w:tc>
          <w:tcPr>
            <w:tcW w:type="dxa" w:w="1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Phase</w:t>
            </w:r>
          </w:p>
        </w:tc>
        <w:tc>
          <w:tcPr>
            <w:tcW w:type="dxa" w:w="17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Zeitraum</w:t>
            </w:r>
          </w:p>
        </w:tc>
        <w:tc>
          <w:tcPr>
            <w:tcW w:type="dxa" w:w="3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Geschäftliches Ziel</w:t>
            </w:r>
          </w:p>
        </w:tc>
        <w:tc>
          <w:tcPr>
            <w:tcW w:type="dxa" w:w="27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Freigabenachweis</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0 · Startklar</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Aug.–Sep. 2026</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Rechts-, Finanz-, Vertrags- und Vertriebsbasis vollständig arbeitsfähig machen</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Startmittel dokumentiert; Kernunterlagen freigegeben; CRM, Angebots- und Projektstruktur aktiv</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1 · Validieren</w:t>
            </w:r>
          </w:p>
        </w:tc>
        <w:tc>
          <w:tcPr>
            <w:tcW w:type="dxa" w:w="1750"/>
            <w:shd w:fill="F8FAFC"/>
            <w:tcMar>
              <w:top w:w="55" w:type="dxa"/>
              <w:start w:w="55" w:type="dxa"/>
              <w:bottom w:w="55" w:type="dxa"/>
              <w:end w:w="55" w:type="dxa"/>
            </w:tcMar>
          </w:tcPr>
          <w:p>
            <w:pPr>
              <w:spacing w:after="0" w:line="230" w:lineRule="auto" w:before="0"/>
            </w:pPr>
            <w:r>
              <w:rPr>
                <w:rFonts w:ascii="Arial" w:hAnsi="Arial" w:eastAsia="Arial"/>
                <w:color w:val="243447"/>
                <w:sz w:val="16"/>
              </w:rPr>
              <w:t>Okt. 2026–Jan. 2027</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Zielkundenansprache in NRW und erstes bezahltes Blueprint- oder Pilotmandat</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qualifizierte Pipeline, dokumentierte Bedarfsgespräche, unterschriebener Auftrag mit Vorauszahlung</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2 · Referenz schaffen</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Feb.–Jul. 2027</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Launch-/Setup-Leistung liefern, Ergebnis messen und Folgegeschäft entwickeln</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Abnahme, Nachkalkulation, verwertbare Referenz sowie Planjahr-1-Umsatzpfad bis 92.000 EUR</w:t>
            </w:r>
          </w:p>
        </w:tc>
      </w:tr>
      <w:tr>
        <w:trPr>
          <w:cantSplit/>
        </w:trPr>
        <w:tc>
          <w:tcPr>
            <w:tcW w:type="dxa" w:w="1850"/>
            <w:shd w:fill="F8FAFC"/>
            <w:tcMar>
              <w:top w:w="55" w:type="dxa"/>
              <w:start w:w="55" w:type="dxa"/>
              <w:bottom w:w="55" w:type="dxa"/>
              <w:end w:w="55" w:type="dxa"/>
            </w:tcMar>
          </w:tcPr>
          <w:p>
            <w:pPr>
              <w:spacing w:after="0" w:line="230" w:lineRule="auto" w:before="0"/>
            </w:pPr>
            <w:r>
              <w:rPr>
                <w:rFonts w:ascii="Arial" w:hAnsi="Arial" w:eastAsia="Arial"/>
                <w:color w:val="243447"/>
                <w:sz w:val="16"/>
              </w:rPr>
              <w:t>3 · Wiederholen</w:t>
            </w:r>
          </w:p>
        </w:tc>
        <w:tc>
          <w:tcPr>
            <w:tcW w:type="dxa" w:w="1750"/>
            <w:shd w:fill="F8FAFC"/>
            <w:tcMar>
              <w:top w:w="55" w:type="dxa"/>
              <w:start w:w="55" w:type="dxa"/>
              <w:bottom w:w="55" w:type="dxa"/>
              <w:end w:w="55" w:type="dxa"/>
            </w:tcMar>
          </w:tcPr>
          <w:p>
            <w:pPr>
              <w:spacing w:after="0" w:line="230" w:lineRule="auto" w:before="0"/>
            </w:pPr>
            <w:r>
              <w:rPr>
                <w:rFonts w:ascii="Arial" w:hAnsi="Arial" w:eastAsia="Arial"/>
                <w:color w:val="243447"/>
                <w:sz w:val="16"/>
              </w:rPr>
              <w:t>Aug. 2027–Jul. 2028</w:t>
            </w:r>
          </w:p>
        </w:tc>
        <w:tc>
          <w:tcPr>
            <w:tcW w:type="dxa" w:w="3450"/>
            <w:shd w:fill="F8FAFC"/>
            <w:tcMar>
              <w:top w:w="55" w:type="dxa"/>
              <w:start w:w="55" w:type="dxa"/>
              <w:bottom w:w="55" w:type="dxa"/>
              <w:end w:w="55" w:type="dxa"/>
            </w:tcMar>
          </w:tcPr>
          <w:p>
            <w:pPr>
              <w:spacing w:after="0" w:line="230" w:lineRule="auto" w:before="0"/>
            </w:pPr>
            <w:r>
              <w:rPr>
                <w:rFonts w:ascii="Arial" w:hAnsi="Arial" w:eastAsia="Arial"/>
                <w:color w:val="243447"/>
                <w:sz w:val="16"/>
              </w:rPr>
              <w:t>mehrere Kunden, wiederkehrendes Office-Geschäft und delegierbare Delivery etablieren</w:t>
            </w:r>
          </w:p>
        </w:tc>
        <w:tc>
          <w:tcPr>
            <w:tcW w:type="dxa" w:w="2700"/>
            <w:shd w:fill="F8FAFC"/>
            <w:tcMar>
              <w:top w:w="55" w:type="dxa"/>
              <w:start w:w="55" w:type="dxa"/>
              <w:bottom w:w="55" w:type="dxa"/>
              <w:end w:w="55" w:type="dxa"/>
            </w:tcMar>
          </w:tcPr>
          <w:p>
            <w:pPr>
              <w:spacing w:after="0" w:line="230" w:lineRule="auto" w:before="0"/>
            </w:pPr>
            <w:r>
              <w:rPr>
                <w:rFonts w:ascii="Arial" w:hAnsi="Arial" w:eastAsia="Arial"/>
                <w:color w:val="243447"/>
                <w:sz w:val="16"/>
              </w:rPr>
              <w:t>269.000 EUR Basiscase-Umsatz nur mit gesicherter Kapazität; keine Kundenkonzentration über 40 % ohne Gegenplan</w:t>
            </w:r>
          </w:p>
        </w:tc>
      </w:tr>
      <w:tr>
        <w:trPr>
          <w:cantSplit/>
        </w:trPr>
        <w:tc>
          <w:tcPr>
            <w:tcW w:type="dxa" w:w="1850"/>
            <w:tcMar>
              <w:top w:w="55" w:type="dxa"/>
              <w:start w:w="55" w:type="dxa"/>
              <w:bottom w:w="55" w:type="dxa"/>
              <w:end w:w="55" w:type="dxa"/>
            </w:tcMar>
          </w:tcPr>
          <w:p>
            <w:pPr>
              <w:spacing w:after="0" w:line="230" w:lineRule="auto" w:before="0"/>
            </w:pPr>
            <w:r>
              <w:rPr>
                <w:rFonts w:ascii="Arial" w:hAnsi="Arial" w:eastAsia="Arial"/>
                <w:color w:val="243447"/>
                <w:sz w:val="16"/>
              </w:rPr>
              <w:t>4 · Skalieren</w:t>
            </w:r>
          </w:p>
        </w:tc>
        <w:tc>
          <w:tcPr>
            <w:tcW w:type="dxa" w:w="1750"/>
            <w:tcMar>
              <w:top w:w="55" w:type="dxa"/>
              <w:start w:w="55" w:type="dxa"/>
              <w:bottom w:w="55" w:type="dxa"/>
              <w:end w:w="55" w:type="dxa"/>
            </w:tcMar>
          </w:tcPr>
          <w:p>
            <w:pPr>
              <w:spacing w:after="0" w:line="230" w:lineRule="auto" w:before="0"/>
            </w:pPr>
            <w:r>
              <w:rPr>
                <w:rFonts w:ascii="Arial" w:hAnsi="Arial" w:eastAsia="Arial"/>
                <w:color w:val="243447"/>
                <w:sz w:val="16"/>
              </w:rPr>
              <w:t>Aug. 2028–Jul. 2029</w:t>
            </w:r>
          </w:p>
        </w:tc>
        <w:tc>
          <w:tcPr>
            <w:tcW w:type="dxa" w:w="3450"/>
            <w:tcMar>
              <w:top w:w="55" w:type="dxa"/>
              <w:start w:w="55" w:type="dxa"/>
              <w:bottom w:w="55" w:type="dxa"/>
              <w:end w:w="55" w:type="dxa"/>
            </w:tcMar>
          </w:tcPr>
          <w:p>
            <w:pPr>
              <w:spacing w:after="0" w:line="230" w:lineRule="auto" w:before="0"/>
            </w:pPr>
            <w:r>
              <w:rPr>
                <w:rFonts w:ascii="Arial" w:hAnsi="Arial" w:eastAsia="Arial"/>
                <w:color w:val="243447"/>
                <w:sz w:val="16"/>
              </w:rPr>
              <w:t>standardisierte Mehrkunden-Delivery und kontrollierte regionale Ausweitung</w:t>
            </w:r>
          </w:p>
        </w:tc>
        <w:tc>
          <w:tcPr>
            <w:tcW w:type="dxa" w:w="2700"/>
            <w:tcMar>
              <w:top w:w="55" w:type="dxa"/>
              <w:start w:w="55" w:type="dxa"/>
              <w:bottom w:w="55" w:type="dxa"/>
              <w:end w:w="55" w:type="dxa"/>
            </w:tcMar>
          </w:tcPr>
          <w:p>
            <w:pPr>
              <w:spacing w:after="0" w:line="230" w:lineRule="auto" w:before="0"/>
            </w:pPr>
            <w:r>
              <w:rPr>
                <w:rFonts w:ascii="Arial" w:hAnsi="Arial" w:eastAsia="Arial"/>
                <w:color w:val="243447"/>
                <w:sz w:val="16"/>
              </w:rPr>
              <w:t>442.000 EUR Basiscase-Umsatz; belastbare Managementstruktur; Produkt-/Objektentscheidungen nur nach Sonder-Gate</w:t>
            </w:r>
          </w:p>
        </w:tc>
      </w:tr>
    </w:tbl>
    <w:p>
      <w:pPr>
        <w:pStyle w:val="Heading3"/>
        <w:keepNext/>
        <w:spacing w:after="30" w:before="70" w:line="240" w:lineRule="auto"/>
      </w:pPr>
      <w:r>
        <w:rPr>
          <w:rFonts w:ascii="Arial" w:hAnsi="Arial" w:eastAsia="Arial" w:cs="Arial"/>
          <w:b/>
          <w:color w:val="102A43"/>
          <w:sz w:val="20"/>
        </w:rPr>
        <w:t>Phase 0: operative Gründungsreife</w:t>
      </w:r>
    </w:p>
    <w:p>
      <w:pPr>
        <w:pStyle w:val="BodyText"/>
        <w:spacing w:after="44" w:before="0" w:line="245" w:lineRule="auto"/>
        <w:jc w:val="both"/>
      </w:pPr>
      <w:r>
        <w:rPr>
          <w:rFonts w:ascii="Arial" w:hAnsi="Arial" w:eastAsia="Arial"/>
          <w:i w:val="0"/>
          <w:color w:val="243447"/>
          <w:sz w:val="19"/>
        </w:rPr>
        <w:t>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650"/>
        <w:gridCol w:w="4650"/>
        <w:gridCol w:w="2450"/>
      </w:tblGrid>
      <w:tr>
        <w:trPr>
          <w:tblHeader/>
        </w:trPr>
        <w:tc>
          <w:tcPr>
            <w:tcW w:type="dxa" w:w="2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Arbeitsstrom</w:t>
            </w:r>
          </w:p>
        </w:tc>
        <w:tc>
          <w:tcPr>
            <w:tcW w:type="dxa" w:w="46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Abschlusskriterium</w:t>
            </w:r>
          </w:p>
        </w:tc>
        <w:tc>
          <w:tcPr>
            <w:tcW w:type="dxa" w:w="24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Folge bei offenem Punkt</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Gesellschaft und Finanzierung</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Rechtsträger, Tätigkeit, Konto und 25.000-EUR-Finanzierung nachvollziehbar dokumentiert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keine langfristige Verpflichtung</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Verträge und Risiko</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Kundenvertrag, Leistungsbeschreibung, Datenschutz und Versicherungsbedarf fachlich geprüft</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nur unverbindliche Gespräche</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Vertrieb</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Zielkundenliste, Entscheider, CRM, Erstansprache, One-Pager und Angebotslogik einsatzbereit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 ungezieltes Marketingbudget</w:t>
            </w:r>
          </w:p>
        </w:tc>
      </w:tr>
      <w:tr>
        <w:trPr>
          <w:cantSplit/>
        </w:trPr>
        <w:tc>
          <w:tcPr>
            <w:tcW w:type="dxa" w:w="2650"/>
            <w:shd w:fill="F8FAFC"/>
            <w:tcMar>
              <w:top w:w="55" w:type="dxa"/>
              <w:start w:w="55" w:type="dxa"/>
              <w:bottom w:w="55" w:type="dxa"/>
              <w:end w:w="55" w:type="dxa"/>
            </w:tcMar>
          </w:tcPr>
          <w:p>
            <w:pPr>
              <w:spacing w:after="0" w:line="230" w:lineRule="auto" w:before="0"/>
            </w:pPr>
            <w:r>
              <w:rPr>
                <w:rFonts w:ascii="Arial" w:hAnsi="Arial" w:eastAsia="Arial"/>
                <w:color w:val="243447"/>
                <w:sz w:val="16"/>
              </w:rPr>
              <w:t>Delivery</w:t>
            </w:r>
          </w:p>
        </w:tc>
        <w:tc>
          <w:tcPr>
            <w:tcW w:type="dxa" w:w="4650"/>
            <w:shd w:fill="F8FAFC"/>
            <w:tcMar>
              <w:top w:w="55" w:type="dxa"/>
              <w:start w:w="55" w:type="dxa"/>
              <w:bottom w:w="55" w:type="dxa"/>
              <w:end w:w="55" w:type="dxa"/>
            </w:tcMar>
          </w:tcPr>
          <w:p>
            <w:pPr>
              <w:spacing w:after="0" w:line="230" w:lineRule="auto" w:before="0"/>
            </w:pPr>
            <w:r>
              <w:rPr>
                <w:rFonts w:ascii="Arial" w:hAnsi="Arial" w:eastAsia="Arial"/>
                <w:color w:val="243447"/>
                <w:sz w:val="16"/>
              </w:rPr>
              <w:t>Projektphasen, Gates, Vorlagen, Reporting, Partnerakte und Eskalation definiert</w:t>
            </w:r>
          </w:p>
        </w:tc>
        <w:tc>
          <w:tcPr>
            <w:tcW w:type="dxa" w:w="2450"/>
            <w:shd w:fill="F8FAFC"/>
            <w:tcMar>
              <w:top w:w="55" w:type="dxa"/>
              <w:start w:w="55" w:type="dxa"/>
              <w:bottom w:w="55" w:type="dxa"/>
              <w:end w:w="55" w:type="dxa"/>
            </w:tcMar>
          </w:tcPr>
          <w:p>
            <w:pPr>
              <w:spacing w:after="0" w:line="230" w:lineRule="auto" w:before="0"/>
            </w:pPr>
            <w:r>
              <w:rPr>
                <w:rFonts w:ascii="Arial" w:hAnsi="Arial" w:eastAsia="Arial"/>
                <w:color w:val="243447"/>
                <w:sz w:val="16"/>
              </w:rPr>
              <w:t>kein Launch-Auftrag</w:t>
            </w:r>
          </w:p>
        </w:tc>
      </w:tr>
      <w:tr>
        <w:trPr>
          <w:cantSplit/>
        </w:trPr>
        <w:tc>
          <w:tcPr>
            <w:tcW w:type="dxa" w:w="2650"/>
            <w:tcMar>
              <w:top w:w="55" w:type="dxa"/>
              <w:start w:w="55" w:type="dxa"/>
              <w:bottom w:w="55" w:type="dxa"/>
              <w:end w:w="55" w:type="dxa"/>
            </w:tcMar>
          </w:tcPr>
          <w:p>
            <w:pPr>
              <w:spacing w:after="0" w:line="230" w:lineRule="auto" w:before="0"/>
            </w:pPr>
            <w:r>
              <w:rPr>
                <w:rFonts w:ascii="Arial" w:hAnsi="Arial" w:eastAsia="Arial"/>
                <w:color w:val="243447"/>
                <w:sz w:val="16"/>
              </w:rPr>
              <w:t>Finanzen</w:t>
            </w:r>
          </w:p>
        </w:tc>
        <w:tc>
          <w:tcPr>
            <w:tcW w:type="dxa" w:w="4650"/>
            <w:tcMar>
              <w:top w:w="55" w:type="dxa"/>
              <w:start w:w="55" w:type="dxa"/>
              <w:bottom w:w="55" w:type="dxa"/>
              <w:end w:w="55" w:type="dxa"/>
            </w:tcMar>
          </w:tcPr>
          <w:p>
            <w:pPr>
              <w:spacing w:after="0" w:line="230" w:lineRule="auto" w:before="0"/>
            </w:pPr>
            <w:r>
              <w:rPr>
                <w:rFonts w:ascii="Arial" w:hAnsi="Arial" w:eastAsia="Arial"/>
                <w:color w:val="243447"/>
                <w:sz w:val="16"/>
              </w:rPr>
              <w:t>Rechnungsprozess, Steuerreserve und rollierender 13-Wochen-Cash-Forecast eingerichtet</w:t>
            </w:r>
          </w:p>
        </w:tc>
        <w:tc>
          <w:tcPr>
            <w:tcW w:type="dxa" w:w="2450"/>
            <w:tcMar>
              <w:top w:w="55" w:type="dxa"/>
              <w:start w:w="55" w:type="dxa"/>
              <w:bottom w:w="55" w:type="dxa"/>
              <w:end w:w="55" w:type="dxa"/>
            </w:tcMar>
          </w:tcPr>
          <w:p>
            <w:pPr>
              <w:spacing w:after="0" w:line="230" w:lineRule="auto" w:before="0"/>
            </w:pPr>
            <w:r>
              <w:rPr>
                <w:rFonts w:ascii="Arial" w:hAnsi="Arial" w:eastAsia="Arial"/>
                <w:color w:val="243447"/>
                <w:sz w:val="16"/>
              </w:rPr>
              <w:t>keine ungedeckte Vorleistung</w:t>
            </w:r>
          </w:p>
        </w:tc>
      </w:tr>
    </w:tbl>
    <w:p>
      <w:pPr>
        <w:pStyle w:val="Heading3"/>
        <w:keepNext/>
        <w:spacing w:after="30" w:before="70" w:line="240" w:lineRule="auto"/>
      </w:pPr>
      <w:r>
        <w:rPr>
          <w:rFonts w:ascii="Arial" w:hAnsi="Arial" w:eastAsia="Arial" w:cs="Arial"/>
          <w:b/>
          <w:color w:val="102A43"/>
          <w:sz w:val="20"/>
        </w:rPr>
        <w:t>Phase 1 und 2: Marktbeweis und Referenz</w:t>
      </w:r>
    </w:p>
    <w:p>
      <w:pPr>
        <w:pStyle w:val="BodyText"/>
        <w:spacing w:after="44" w:before="0" w:line="245" w:lineRule="auto"/>
        <w:jc w:val="both"/>
      </w:pPr>
      <w:r>
        <w:rPr>
          <w:rFonts w:ascii="Arial" w:hAnsi="Arial" w:eastAsia="Arial"/>
          <w:i w:val="0"/>
          <w:color w:val="243447"/>
          <w:sz w:val="19"/>
        </w:rPr>
        <w:t>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pPr>
        <w:pStyle w:val="BodyText"/>
        <w:spacing w:after="44" w:before="0" w:line="245" w:lineRule="auto"/>
        <w:jc w:val="both"/>
      </w:pPr>
      <w:r>
        <w:rPr>
          <w:rFonts w:ascii="Arial" w:hAnsi="Arial" w:eastAsia="Arial"/>
          <w:i w:val="0"/>
          <w:color w:val="243447"/>
          <w:sz w:val="19"/>
        </w:rPr>
        <w:t>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2950"/>
        <w:gridCol w:w="3850"/>
        <w:gridCol w:w="2950"/>
      </w:tblGrid>
      <w:tr>
        <w:trPr>
          <w:tblHeader/>
        </w:trPr>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Marktnachweis</w:t>
            </w:r>
          </w:p>
        </w:tc>
        <w:tc>
          <w:tcPr>
            <w:tcW w:type="dxa" w:w="3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Ziel bis Juli 2027</w:t>
            </w:r>
          </w:p>
        </w:tc>
        <w:tc>
          <w:tcPr>
            <w:tcW w:type="dxa" w:w="29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Managementbedeutung</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Qualifizierte Bedarfsgespräche</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kontinuierlicher, dokumentierter Gesprächsfluss statt reiner Kontaktzahl</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Problem, Entscheider und Angebotsform schärfen</w:t>
            </w:r>
          </w:p>
        </w:tc>
      </w:tr>
      <w:tr>
        <w:trPr>
          <w:cantSplit/>
        </w:trPr>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Bezahlte Mandate</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zwei Blueprints, ein fokussierter Launch, reduziertes Office-Setup und erster Betreuungsmonat im Basiscase</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Zahlungsbereitschaft und Delivery belegen</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Umsatz</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92.000 EUR im Planjahr 1</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Basiscase bestätigen oder Forecast korrigieren</w:t>
            </w:r>
          </w:p>
        </w:tc>
      </w:tr>
      <w:tr>
        <w:trPr>
          <w:cantSplit/>
        </w:trPr>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Referenzfähigkeit</w:t>
            </w:r>
          </w:p>
        </w:tc>
        <w:tc>
          <w:tcPr>
            <w:tcW w:type="dxa" w:w="3850"/>
            <w:shd w:fill="F8FAFC"/>
            <w:tcMar>
              <w:top w:w="55" w:type="dxa"/>
              <w:start w:w="55" w:type="dxa"/>
              <w:bottom w:w="55" w:type="dxa"/>
              <w:end w:w="55" w:type="dxa"/>
            </w:tcMar>
          </w:tcPr>
          <w:p>
            <w:pPr>
              <w:spacing w:after="0" w:line="230" w:lineRule="auto" w:before="0"/>
            </w:pPr>
            <w:r>
              <w:rPr>
                <w:rFonts w:ascii="Arial" w:hAnsi="Arial" w:eastAsia="Arial"/>
                <w:color w:val="243447"/>
                <w:sz w:val="16"/>
              </w:rPr>
              <w:t>mindestens ein abgenommenes Projekt mit messbarem Ergebnis</w:t>
            </w:r>
          </w:p>
        </w:tc>
        <w:tc>
          <w:tcPr>
            <w:tcW w:type="dxa" w:w="2950"/>
            <w:shd w:fill="F8FAFC"/>
            <w:tcMar>
              <w:top w:w="55" w:type="dxa"/>
              <w:start w:w="55" w:type="dxa"/>
              <w:bottom w:w="55" w:type="dxa"/>
              <w:end w:w="55" w:type="dxa"/>
            </w:tcMar>
          </w:tcPr>
          <w:p>
            <w:pPr>
              <w:spacing w:after="0" w:line="230" w:lineRule="auto" w:before="0"/>
            </w:pPr>
            <w:r>
              <w:rPr>
                <w:rFonts w:ascii="Arial" w:hAnsi="Arial" w:eastAsia="Arial"/>
                <w:color w:val="243447"/>
                <w:sz w:val="16"/>
              </w:rPr>
              <w:t>Vertrauen und Folgeakquise stärken</w:t>
            </w:r>
          </w:p>
        </w:tc>
      </w:tr>
      <w:tr>
        <w:trPr>
          <w:cantSplit/>
        </w:trPr>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3850"/>
            <w:tcMar>
              <w:top w:w="55" w:type="dxa"/>
              <w:start w:w="55" w:type="dxa"/>
              <w:bottom w:w="55" w:type="dxa"/>
              <w:end w:w="55" w:type="dxa"/>
            </w:tcMar>
          </w:tcPr>
          <w:p>
            <w:pPr>
              <w:spacing w:after="0" w:line="230" w:lineRule="auto" w:before="0"/>
            </w:pPr>
            <w:r>
              <w:rPr>
                <w:rFonts w:ascii="Arial" w:hAnsi="Arial" w:eastAsia="Arial"/>
                <w:color w:val="243447"/>
                <w:sz w:val="16"/>
              </w:rPr>
              <w:t>mindestens 10.000 EUR Management-Mindestliquidität</w:t>
            </w:r>
          </w:p>
        </w:tc>
        <w:tc>
          <w:tcPr>
            <w:tcW w:type="dxa" w:w="2950"/>
            <w:tcMar>
              <w:top w:w="55" w:type="dxa"/>
              <w:start w:w="55" w:type="dxa"/>
              <w:bottom w:w="55" w:type="dxa"/>
              <w:end w:w="55" w:type="dxa"/>
            </w:tcMar>
          </w:tcPr>
          <w:p>
            <w:pPr>
              <w:spacing w:after="0" w:line="230" w:lineRule="auto" w:before="0"/>
            </w:pPr>
            <w:r>
              <w:rPr>
                <w:rFonts w:ascii="Arial" w:hAnsi="Arial" w:eastAsia="Arial"/>
                <w:color w:val="243447"/>
                <w:sz w:val="16"/>
              </w:rPr>
              <w:t>keine neue Fixkostenbindung unter Schwelle</w:t>
            </w:r>
          </w:p>
        </w:tc>
      </w:tr>
    </w:tbl>
    <w:p>
      <w:pPr>
        <w:pStyle w:val="Heading3"/>
        <w:keepNext/>
        <w:spacing w:after="30" w:before="70" w:line="240" w:lineRule="auto"/>
      </w:pPr>
      <w:r>
        <w:rPr>
          <w:rFonts w:ascii="Arial" w:hAnsi="Arial" w:eastAsia="Arial" w:cs="Arial"/>
          <w:b/>
          <w:color w:val="102A43"/>
          <w:sz w:val="20"/>
        </w:rPr>
        <w:t>Phase 3: Wiederholung und erste Teamkapazität</w:t>
      </w:r>
    </w:p>
    <w:p>
      <w:pPr>
        <w:pStyle w:val="BodyText"/>
        <w:spacing w:after="44" w:before="0" w:line="245" w:lineRule="auto"/>
        <w:jc w:val="both"/>
      </w:pPr>
      <w:r>
        <w:rPr>
          <w:rFonts w:ascii="Arial" w:hAnsi="Arial" w:eastAsia="Arial"/>
          <w:i w:val="0"/>
          <w:color w:val="243447"/>
          <w:sz w:val="19"/>
        </w:rPr>
        <w:t>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900"/>
        <w:gridCol w:w="5000"/>
        <w:gridCol w:w="2850"/>
      </w:tblGrid>
      <w:tr>
        <w:trPr>
          <w:tblHeader/>
        </w:trPr>
        <w:tc>
          <w:tcPr>
            <w:tcW w:type="dxa" w:w="19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Gate</w:t>
            </w:r>
          </w:p>
        </w:tc>
        <w:tc>
          <w:tcPr>
            <w:tcW w:type="dxa" w:w="5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Mindestnachweis</w:t>
            </w:r>
          </w:p>
        </w:tc>
        <w:tc>
          <w:tcPr>
            <w:tcW w:type="dxa" w:w="2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Nachfrage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unterschriebener Auftragsbestand und belastbare Folgepipeline</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Kapazität planen, nicht auf Hoffnung einstellen</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Delegierbarkeit</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wiederkehrende Aufgaben, SOP, Qualitätskriterium und klarer Owner</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Rolle und Einarbeitung definieren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Finanzierung</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sechs Monate Vollkosten plus mindestens 15.000 EUR Management-Mindestliquidität</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Einstellung oder variable Alternative</w:t>
            </w:r>
          </w:p>
        </w:tc>
      </w:tr>
      <w:tr>
        <w:trPr>
          <w:cantSplit/>
        </w:trPr>
        <w:tc>
          <w:tcPr>
            <w:tcW w:type="dxa" w:w="1900"/>
            <w:shd w:fill="F8FAFC"/>
            <w:tcMar>
              <w:top w:w="55" w:type="dxa"/>
              <w:start w:w="55" w:type="dxa"/>
              <w:bottom w:w="55" w:type="dxa"/>
              <w:end w:w="55" w:type="dxa"/>
            </w:tcMar>
          </w:tcPr>
          <w:p>
            <w:pPr>
              <w:spacing w:after="0" w:line="230" w:lineRule="auto" w:before="0"/>
            </w:pPr>
            <w:r>
              <w:rPr>
                <w:rFonts w:ascii="Arial" w:hAnsi="Arial" w:eastAsia="Arial"/>
                <w:color w:val="243447"/>
                <w:sz w:val="16"/>
              </w:rPr>
              <w:t>Führung</w:t>
            </w:r>
          </w:p>
        </w:tc>
        <w:tc>
          <w:tcPr>
            <w:tcW w:type="dxa" w:w="5000"/>
            <w:shd w:fill="F8FAFC"/>
            <w:tcMar>
              <w:top w:w="55" w:type="dxa"/>
              <w:start w:w="55" w:type="dxa"/>
              <w:bottom w:w="55" w:type="dxa"/>
              <w:end w:w="55" w:type="dxa"/>
            </w:tcMar>
          </w:tcPr>
          <w:p>
            <w:pPr>
              <w:spacing w:after="0" w:line="230" w:lineRule="auto" w:before="0"/>
            </w:pPr>
            <w:r>
              <w:rPr>
                <w:rFonts w:ascii="Arial" w:hAnsi="Arial" w:eastAsia="Arial"/>
                <w:color w:val="243447"/>
                <w:sz w:val="16"/>
              </w:rPr>
              <w:t>Zeit für Einarbeitung, Kontrolle und Eskalation im Gründerplan</w:t>
            </w:r>
          </w:p>
        </w:tc>
        <w:tc>
          <w:tcPr>
            <w:tcW w:type="dxa" w:w="2850"/>
            <w:shd w:fill="F8FAFC"/>
            <w:tcMar>
              <w:top w:w="55" w:type="dxa"/>
              <w:start w:w="55" w:type="dxa"/>
              <w:bottom w:w="55" w:type="dxa"/>
              <w:end w:w="55" w:type="dxa"/>
            </w:tcMar>
          </w:tcPr>
          <w:p>
            <w:pPr>
              <w:spacing w:after="0" w:line="230" w:lineRule="auto" w:before="0"/>
            </w:pPr>
            <w:r>
              <w:rPr>
                <w:rFonts w:ascii="Arial" w:hAnsi="Arial" w:eastAsia="Arial"/>
                <w:color w:val="243447"/>
                <w:sz w:val="16"/>
              </w:rPr>
              <w:t>Starttermin realistisch setzen</w:t>
            </w:r>
          </w:p>
        </w:tc>
      </w:tr>
      <w:tr>
        <w:trPr>
          <w:cantSplit/>
        </w:trPr>
        <w:tc>
          <w:tcPr>
            <w:tcW w:type="dxa" w:w="1900"/>
            <w:tcMar>
              <w:top w:w="55" w:type="dxa"/>
              <w:start w:w="55" w:type="dxa"/>
              <w:bottom w:w="55" w:type="dxa"/>
              <w:end w:w="55" w:type="dxa"/>
            </w:tcMar>
          </w:tcPr>
          <w:p>
            <w:pPr>
              <w:spacing w:after="0" w:line="230" w:lineRule="auto" w:before="0"/>
            </w:pPr>
            <w:r>
              <w:rPr>
                <w:rFonts w:ascii="Arial" w:hAnsi="Arial" w:eastAsia="Arial"/>
                <w:color w:val="243447"/>
                <w:sz w:val="16"/>
              </w:rPr>
              <w:t>Downside</w:t>
            </w:r>
          </w:p>
        </w:tc>
        <w:tc>
          <w:tcPr>
            <w:tcW w:type="dxa" w:w="5000"/>
            <w:tcMar>
              <w:top w:w="55" w:type="dxa"/>
              <w:start w:w="55" w:type="dxa"/>
              <w:bottom w:w="55" w:type="dxa"/>
              <w:end w:w="55" w:type="dxa"/>
            </w:tcMar>
          </w:tcPr>
          <w:p>
            <w:pPr>
              <w:spacing w:after="0" w:line="230" w:lineRule="auto" w:before="0"/>
            </w:pPr>
            <w:r>
              <w:rPr>
                <w:rFonts w:ascii="Arial" w:hAnsi="Arial" w:eastAsia="Arial"/>
                <w:color w:val="243447"/>
                <w:sz w:val="16"/>
              </w:rPr>
              <w:t>Personalkosten auch bei verzögertem Folgeauftrag tragbar</w:t>
            </w:r>
          </w:p>
        </w:tc>
        <w:tc>
          <w:tcPr>
            <w:tcW w:type="dxa" w:w="2850"/>
            <w:tcMar>
              <w:top w:w="55" w:type="dxa"/>
              <w:start w:w="55" w:type="dxa"/>
              <w:bottom w:w="55" w:type="dxa"/>
              <w:end w:w="55" w:type="dxa"/>
            </w:tcMar>
          </w:tcPr>
          <w:p>
            <w:pPr>
              <w:spacing w:after="0" w:line="230" w:lineRule="auto" w:before="0"/>
            </w:pPr>
            <w:r>
              <w:rPr>
                <w:rFonts w:ascii="Arial" w:hAnsi="Arial" w:eastAsia="Arial"/>
                <w:color w:val="243447"/>
                <w:sz w:val="16"/>
              </w:rPr>
              <w:t>Go/No-Go anhand aktualisiertem Szenario</w:t>
            </w:r>
          </w:p>
        </w:tc>
      </w:tr>
    </w:tbl>
    <w:p>
      <w:pPr>
        <w:pStyle w:val="Heading3"/>
        <w:keepNext/>
        <w:spacing w:after="30" w:before="70" w:line="240" w:lineRule="auto"/>
      </w:pPr>
      <w:r>
        <w:rPr>
          <w:rFonts w:ascii="Arial" w:hAnsi="Arial" w:eastAsia="Arial" w:cs="Arial"/>
          <w:b/>
          <w:color w:val="102A43"/>
          <w:sz w:val="20"/>
        </w:rPr>
        <w:t>Phase 4: standardisierte Skalierung</w:t>
      </w:r>
    </w:p>
    <w:p>
      <w:pPr>
        <w:pStyle w:val="BodyText"/>
        <w:spacing w:after="44" w:before="0" w:line="245" w:lineRule="auto"/>
        <w:jc w:val="both"/>
      </w:pPr>
      <w:r>
        <w:rPr>
          <w:rFonts w:ascii="Arial" w:hAnsi="Arial" w:eastAsia="Arial"/>
          <w:i w:val="0"/>
          <w:color w:val="243447"/>
          <w:sz w:val="19"/>
        </w:rPr>
        <w:t>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pPr>
        <w:pStyle w:val="BodyText"/>
        <w:spacing w:after="44" w:before="0" w:line="245" w:lineRule="auto"/>
        <w:jc w:val="both"/>
      </w:pPr>
      <w:r>
        <w:rPr>
          <w:rFonts w:ascii="Arial" w:hAnsi="Arial" w:eastAsia="Arial"/>
          <w:i w:val="0"/>
          <w:color w:val="243447"/>
          <w:sz w:val="19"/>
        </w:rPr>
        <w:t>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pPr>
        <w:pStyle w:val="Heading2"/>
        <w:keepNext/>
        <w:pBdr>
          <w:bottom w:val="single" w:sz="8" w:space="6" w:color="B08D57"/>
        </w:pBdr>
        <w:spacing w:after="50" w:before="100" w:line="240" w:lineRule="auto"/>
      </w:pPr>
      <w:r>
        <w:rPr>
          <w:rFonts w:ascii="Arial" w:hAnsi="Arial" w:eastAsia="Arial" w:cs="Arial"/>
          <w:b/>
          <w:color w:val="1E3A5F"/>
          <w:sz w:val="24"/>
        </w:rPr>
        <w:t>Steuerungs-Cockpit und Entscheidungsgates</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600"/>
        <w:gridCol w:w="3000"/>
        <w:gridCol w:w="2550"/>
        <w:gridCol w:w="2600"/>
      </w:tblGrid>
      <w:tr>
        <w:trPr>
          <w:tblHeader/>
        </w:trPr>
        <w:tc>
          <w:tcPr>
            <w:tcW w:type="dxa" w:w="1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Dimension</w:t>
            </w:r>
          </w:p>
        </w:tc>
        <w:tc>
          <w:tcPr>
            <w:tcW w:type="dxa" w:w="30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Frühindikator</w:t>
            </w:r>
          </w:p>
        </w:tc>
        <w:tc>
          <w:tcPr>
            <w:tcW w:type="dxa" w:w="25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Ziel / Grenze</w:t>
            </w:r>
          </w:p>
        </w:tc>
        <w:tc>
          <w:tcPr>
            <w:tcW w:type="dxa" w:w="26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Reaktion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Vertrieb</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qualifizierte Pipeline, Angebote, Abschlussweg</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ausreichende Abdeckung des rollierenden Umsatzplans</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Segment, Botschaft oder Angebot nachschärfen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Delivery</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Stunden, Termin, offene Freigaben, Abnahme</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max. 70 % fest verplante Gründerkapazität</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Scope ändern, delegieren oder verschieben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Wirtschaftlichkeit</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Cash-Deckungsbeitrag und Nachkalkulation</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jedes Mandat trägt Unternehmensbeitrag</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Preis, Scope oder Fremdkosten korrigieren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Liquidität</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13-Wochen-Cash und freie Reserve</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10.000 / 15.000 / 25.000 EUR je Planjahr</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Fixkosten-, Personal- und Investitionsstopp</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Kundenmix</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Anteil größter Kunde</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möglichst unter 40 % des Jahresumsatzes</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zweiten Ankerkunden priorisieren</w:t>
            </w:r>
          </w:p>
        </w:tc>
      </w:tr>
      <w:tr>
        <w:trPr>
          <w:cantSplit/>
        </w:trPr>
        <w:tc>
          <w:tcPr>
            <w:tcW w:type="dxa" w:w="1600"/>
            <w:shd w:fill="F8FAFC"/>
            <w:tcMar>
              <w:top w:w="55" w:type="dxa"/>
              <w:start w:w="55" w:type="dxa"/>
              <w:bottom w:w="55" w:type="dxa"/>
              <w:end w:w="55" w:type="dxa"/>
            </w:tcMar>
          </w:tcPr>
          <w:p>
            <w:pPr>
              <w:spacing w:after="0" w:line="230" w:lineRule="auto" w:before="0"/>
            </w:pPr>
            <w:r>
              <w:rPr>
                <w:rFonts w:ascii="Arial" w:hAnsi="Arial" w:eastAsia="Arial"/>
                <w:color w:val="243447"/>
                <w:sz w:val="16"/>
              </w:rPr>
              <w:t>Qualität</w:t>
            </w:r>
          </w:p>
        </w:tc>
        <w:tc>
          <w:tcPr>
            <w:tcW w:type="dxa" w:w="3000"/>
            <w:shd w:fill="F8FAFC"/>
            <w:tcMar>
              <w:top w:w="55" w:type="dxa"/>
              <w:start w:w="55" w:type="dxa"/>
              <w:bottom w:w="55" w:type="dxa"/>
              <w:end w:w="55" w:type="dxa"/>
            </w:tcMar>
          </w:tcPr>
          <w:p>
            <w:pPr>
              <w:spacing w:after="0" w:line="230" w:lineRule="auto" w:before="0"/>
            </w:pPr>
            <w:r>
              <w:rPr>
                <w:rFonts w:ascii="Arial" w:hAnsi="Arial" w:eastAsia="Arial"/>
                <w:color w:val="243447"/>
                <w:sz w:val="16"/>
              </w:rPr>
              <w:t>Beschwerden, Eskalationen, Rework</w:t>
            </w:r>
          </w:p>
        </w:tc>
        <w:tc>
          <w:tcPr>
            <w:tcW w:type="dxa" w:w="2550"/>
            <w:shd w:fill="F8FAFC"/>
            <w:tcMar>
              <w:top w:w="55" w:type="dxa"/>
              <w:start w:w="55" w:type="dxa"/>
              <w:bottom w:w="55" w:type="dxa"/>
              <w:end w:w="55" w:type="dxa"/>
            </w:tcMar>
          </w:tcPr>
          <w:p>
            <w:pPr>
              <w:spacing w:after="0" w:line="230" w:lineRule="auto" w:before="0"/>
            </w:pPr>
            <w:r>
              <w:rPr>
                <w:rFonts w:ascii="Arial" w:hAnsi="Arial" w:eastAsia="Arial"/>
                <w:color w:val="243447"/>
                <w:sz w:val="16"/>
              </w:rPr>
              <w:t>Ursache und Maßnahme je kritischem Fall</w:t>
            </w:r>
          </w:p>
        </w:tc>
        <w:tc>
          <w:tcPr>
            <w:tcW w:type="dxa" w:w="2600"/>
            <w:shd w:fill="F8FAFC"/>
            <w:tcMar>
              <w:top w:w="55" w:type="dxa"/>
              <w:start w:w="55" w:type="dxa"/>
              <w:bottom w:w="55" w:type="dxa"/>
              <w:end w:w="55" w:type="dxa"/>
            </w:tcMar>
          </w:tcPr>
          <w:p>
            <w:pPr>
              <w:spacing w:after="0" w:line="230" w:lineRule="auto" w:before="0"/>
            </w:pPr>
            <w:r>
              <w:rPr>
                <w:rFonts w:ascii="Arial" w:hAnsi="Arial" w:eastAsia="Arial"/>
                <w:color w:val="243447"/>
                <w:sz w:val="16"/>
              </w:rPr>
              <w:t>Root-Cause-Review und Standard anpassen</w:t>
            </w:r>
          </w:p>
        </w:tc>
      </w:tr>
      <w:tr>
        <w:trPr>
          <w:cantSplit/>
        </w:trPr>
        <w:tc>
          <w:tcPr>
            <w:tcW w:type="dxa" w:w="1600"/>
            <w:tcMar>
              <w:top w:w="55" w:type="dxa"/>
              <w:start w:w="55" w:type="dxa"/>
              <w:bottom w:w="55" w:type="dxa"/>
              <w:end w:w="55" w:type="dxa"/>
            </w:tcMar>
          </w:tcPr>
          <w:p>
            <w:pPr>
              <w:spacing w:after="0" w:line="230" w:lineRule="auto" w:before="0"/>
            </w:pPr>
            <w:r>
              <w:rPr>
                <w:rFonts w:ascii="Arial" w:hAnsi="Arial" w:eastAsia="Arial"/>
                <w:color w:val="243447"/>
                <w:sz w:val="16"/>
              </w:rPr>
              <w:t>Wachstum</w:t>
            </w:r>
          </w:p>
        </w:tc>
        <w:tc>
          <w:tcPr>
            <w:tcW w:type="dxa" w:w="3000"/>
            <w:tcMar>
              <w:top w:w="55" w:type="dxa"/>
              <w:start w:w="55" w:type="dxa"/>
              <w:bottom w:w="55" w:type="dxa"/>
              <w:end w:w="55" w:type="dxa"/>
            </w:tcMar>
          </w:tcPr>
          <w:p>
            <w:pPr>
              <w:spacing w:after="0" w:line="230" w:lineRule="auto" w:before="0"/>
            </w:pPr>
            <w:r>
              <w:rPr>
                <w:rFonts w:ascii="Arial" w:hAnsi="Arial" w:eastAsia="Arial"/>
                <w:color w:val="243447"/>
                <w:sz w:val="16"/>
              </w:rPr>
              <w:t>neue Personal-, IT- oder Objektbindung</w:t>
            </w:r>
          </w:p>
        </w:tc>
        <w:tc>
          <w:tcPr>
            <w:tcW w:type="dxa" w:w="2550"/>
            <w:tcMar>
              <w:top w:w="55" w:type="dxa"/>
              <w:start w:w="55" w:type="dxa"/>
              <w:bottom w:w="55" w:type="dxa"/>
              <w:end w:w="55" w:type="dxa"/>
            </w:tcMar>
          </w:tcPr>
          <w:p>
            <w:pPr>
              <w:spacing w:after="0" w:line="230" w:lineRule="auto" w:before="0"/>
            </w:pPr>
            <w:r>
              <w:rPr>
                <w:rFonts w:ascii="Arial" w:hAnsi="Arial" w:eastAsia="Arial"/>
                <w:color w:val="243447"/>
                <w:sz w:val="16"/>
              </w:rPr>
              <w:t>separates Investitionspapier mit Downside und Exit</w:t>
            </w:r>
          </w:p>
        </w:tc>
        <w:tc>
          <w:tcPr>
            <w:tcW w:type="dxa" w:w="2600"/>
            <w:tcMar>
              <w:top w:w="55" w:type="dxa"/>
              <w:start w:w="55" w:type="dxa"/>
              <w:bottom w:w="55" w:type="dxa"/>
              <w:end w:w="55" w:type="dxa"/>
            </w:tcMar>
          </w:tcPr>
          <w:p>
            <w:pPr>
              <w:spacing w:after="0" w:line="230" w:lineRule="auto" w:before="0"/>
            </w:pPr>
            <w:r>
              <w:rPr>
                <w:rFonts w:ascii="Arial" w:hAnsi="Arial" w:eastAsia="Arial"/>
                <w:color w:val="243447"/>
                <w:sz w:val="16"/>
              </w:rPr>
              <w:t>nur dokumentiertes Go/No-Go</w:t>
            </w:r>
          </w:p>
        </w:tc>
      </w:tr>
    </w:tbl>
    <w:p>
      <w:pPr>
        <w:spacing w:before="0" w:after="44" w:line="245" w:lineRule="auto"/>
        <w:shd w:fill="EEF3F7"/>
        <w:pBdr>
          <w:left w:val="single" w:sz="18" w:space="10" w:color="1E3A5F"/>
        </w:pBdr>
        <w:ind w:left="180" w:right="120"/>
      </w:pPr>
      <w:r>
        <w:rPr>
          <w:rFonts w:ascii="Arial" w:hAnsi="Arial" w:eastAsia="Arial"/>
          <w:b/>
          <w:color w:val="1E3A5F"/>
          <w:sz w:val="19"/>
        </w:rPr>
        <w:t xml:space="preserve">DOWNSIDE-AUTOMATIK  </w:t>
      </w:r>
      <w:r>
        <w:rPr>
          <w:rFonts w:ascii="Arial" w:hAnsi="Arial" w:eastAsia="Arial"/>
          <w:color w:val="243447"/>
          <w:sz w:val="19"/>
        </w:rPr>
        <w:t>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pPr>
        <w:pStyle w:val="Heading2"/>
        <w:keepNext/>
        <w:pBdr>
          <w:bottom w:val="single" w:sz="8" w:space="6" w:color="B08D57"/>
        </w:pBdr>
        <w:spacing w:after="50" w:before="100" w:line="240" w:lineRule="auto"/>
      </w:pPr>
      <w:r>
        <w:rPr>
          <w:rFonts w:ascii="Arial" w:hAnsi="Arial" w:eastAsia="Arial" w:cs="Arial"/>
          <w:b/>
          <w:color w:val="1E3A5F"/>
          <w:sz w:val="24"/>
        </w:rPr>
        <w:t>Meilenstein-Governance</w:t>
      </w:r>
    </w:p>
    <w:p>
      <w:pPr>
        <w:pStyle w:val="BodyText"/>
        <w:spacing w:after="44" w:before="0" w:line="245" w:lineRule="auto"/>
        <w:jc w:val="both"/>
      </w:pPr>
      <w:r>
        <w:rPr>
          <w:rFonts w:ascii="Arial" w:hAnsi="Arial" w:eastAsia="Arial"/>
          <w:i w:val="0"/>
          <w:color w:val="243447"/>
          <w:sz w:val="19"/>
        </w:rPr>
        <w:t>Die Roadmap wird monatlich im Management-Review aktualisiert. Dabei werden Ist-Zahlen nicht nachträglich an den Plan angepasst; vielmehr werden Abweichung, Ursache, finanzielle Wirkung und Entscheidung dokumentiert. Quartalsweise wird geprüft, ob Zielkundensegment, Leistungsumfang, Preise, Partnerstruktur und Risikoschwellen weiterhin tragfähig sind. Der Jahreswechsel allein rechtfertigt keine neue Entwicklungsstufe.</w:t>
      </w:r>
    </w:p>
    <w:tbl>
      <w:tblPr>
        <w:tblW w:type="dxa" w:w="9750"/>
        <w:jc w:val="center"/>
        <w:tblLayout w:type="fixed"/>
        <w:tblLook w:firstColumn="1" w:firstRow="1" w:lastColumn="0" w:lastRow="0" w:noHBand="0" w:noVBand="1" w:val="04A0"/>
        <w:tblInd w:w="0" w:type="dxa"/>
        <w:tblBorders>
          <w:top w:val="single" w:sz="5" w:color="D8E1E8"/>
          <w:left w:val="single" w:sz="5" w:color="D8E1E8"/>
          <w:bottom w:val="single" w:sz="5" w:color="D8E1E8"/>
          <w:right w:val="single" w:sz="5" w:color="D8E1E8"/>
          <w:insideH w:val="single" w:sz="5" w:color="D8E1E8"/>
          <w:insideV w:val="single" w:sz="5" w:color="D8E1E8"/>
        </w:tblBorders>
      </w:tblPr>
      <w:tblGrid>
        <w:gridCol w:w="1800"/>
        <w:gridCol w:w="4850"/>
        <w:gridCol w:w="3100"/>
      </w:tblGrid>
      <w:tr>
        <w:trPr>
          <w:tblHeader/>
        </w:trPr>
        <w:tc>
          <w:tcPr>
            <w:tcW w:type="dxa" w:w="18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Rhythmus</w:t>
            </w:r>
          </w:p>
        </w:tc>
        <w:tc>
          <w:tcPr>
            <w:tcW w:type="dxa" w:w="485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Entscheidungsgrundlage</w:t>
            </w:r>
          </w:p>
        </w:tc>
        <w:tc>
          <w:tcPr>
            <w:tcW w:type="dxa" w:w="3100"/>
            <w:vAlign w:val="center"/>
            <w:tcMar>
              <w:top w:w="55" w:type="dxa"/>
              <w:start w:w="55" w:type="dxa"/>
              <w:bottom w:w="55" w:type="dxa"/>
              <w:end w:w="55" w:type="dxa"/>
            </w:tcMar>
            <w:shd w:fill="102A43"/>
          </w:tcPr>
          <w:p>
            <w:pPr>
              <w:spacing w:after="0" w:before="0" w:line="230" w:lineRule="auto"/>
              <w:jc w:val="left"/>
            </w:pPr>
            <w:r>
              <w:rPr>
                <w:rFonts w:ascii="Arial" w:hAnsi="Arial" w:eastAsia="Arial"/>
                <w:b/>
                <w:color w:val="FFFFFF"/>
                <w:sz w:val="16"/>
              </w:rPr>
              <w:t>Verbindliches Ergebnis</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Wöchentlich</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Pipeline-Aktivitäten, Bank, Forderungen, Stunden und kritische Fälle</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Prioritäten und Eskalationen</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Monatlich</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BWA, Cash-Forecast, Auftragsbestand, Kapazität, Marge und Kundenmix</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aktualisierter 12-Monats-Forecast</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Quartalsweise</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Strategie-KPIs, Qualität, Partner, Datenschutz und Szenario</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Continue, Correct, Pause oder Stop je Initiative</w:t>
            </w:r>
          </w:p>
        </w:tc>
      </w:tr>
      <w:tr>
        <w:trPr>
          <w:cantSplit/>
        </w:trPr>
        <w:tc>
          <w:tcPr>
            <w:tcW w:type="dxa" w:w="1800"/>
            <w:shd w:fill="F8FAFC"/>
            <w:tcMar>
              <w:top w:w="55" w:type="dxa"/>
              <w:start w:w="55" w:type="dxa"/>
              <w:bottom w:w="55" w:type="dxa"/>
              <w:end w:w="55" w:type="dxa"/>
            </w:tcMar>
          </w:tcPr>
          <w:p>
            <w:pPr>
              <w:spacing w:after="0" w:line="230" w:lineRule="auto" w:before="0"/>
            </w:pPr>
            <w:r>
              <w:rPr>
                <w:rFonts w:ascii="Arial" w:hAnsi="Arial" w:eastAsia="Arial"/>
                <w:color w:val="243447"/>
                <w:sz w:val="16"/>
              </w:rPr>
              <w:t>Je Projektgate</w:t>
            </w:r>
          </w:p>
        </w:tc>
        <w:tc>
          <w:tcPr>
            <w:tcW w:type="dxa" w:w="4850"/>
            <w:shd w:fill="F8FAFC"/>
            <w:tcMar>
              <w:top w:w="55" w:type="dxa"/>
              <w:start w:w="55" w:type="dxa"/>
              <w:bottom w:w="55" w:type="dxa"/>
              <w:end w:w="55" w:type="dxa"/>
            </w:tcMar>
          </w:tcPr>
          <w:p>
            <w:pPr>
              <w:spacing w:after="0" w:line="230" w:lineRule="auto" w:before="0"/>
            </w:pPr>
            <w:r>
              <w:rPr>
                <w:rFonts w:ascii="Arial" w:hAnsi="Arial" w:eastAsia="Arial"/>
                <w:color w:val="243447"/>
                <w:sz w:val="16"/>
              </w:rPr>
              <w:t>Abnahme, Zahlung, Scope, Budget und Kundenzuarbeit</w:t>
            </w:r>
          </w:p>
        </w:tc>
        <w:tc>
          <w:tcPr>
            <w:tcW w:type="dxa" w:w="3100"/>
            <w:shd w:fill="F8FAFC"/>
            <w:tcMar>
              <w:top w:w="55" w:type="dxa"/>
              <w:start w:w="55" w:type="dxa"/>
              <w:bottom w:w="55" w:type="dxa"/>
              <w:end w:w="55" w:type="dxa"/>
            </w:tcMar>
          </w:tcPr>
          <w:p>
            <w:pPr>
              <w:spacing w:after="0" w:line="230" w:lineRule="auto" w:before="0"/>
            </w:pPr>
            <w:r>
              <w:rPr>
                <w:rFonts w:ascii="Arial" w:hAnsi="Arial" w:eastAsia="Arial"/>
                <w:color w:val="243447"/>
                <w:sz w:val="16"/>
              </w:rPr>
              <w:t>Freigabe der nächsten Leistungsphase</w:t>
            </w:r>
          </w:p>
        </w:tc>
      </w:tr>
      <w:tr>
        <w:trPr>
          <w:cantSplit/>
        </w:trPr>
        <w:tc>
          <w:tcPr>
            <w:tcW w:type="dxa" w:w="1800"/>
            <w:tcMar>
              <w:top w:w="55" w:type="dxa"/>
              <w:start w:w="55" w:type="dxa"/>
              <w:bottom w:w="55" w:type="dxa"/>
              <w:end w:w="55" w:type="dxa"/>
            </w:tcMar>
          </w:tcPr>
          <w:p>
            <w:pPr>
              <w:spacing w:after="0" w:line="230" w:lineRule="auto" w:before="0"/>
            </w:pPr>
            <w:r>
              <w:rPr>
                <w:rFonts w:ascii="Arial" w:hAnsi="Arial" w:eastAsia="Arial"/>
                <w:color w:val="243447"/>
                <w:sz w:val="16"/>
              </w:rPr>
              <w:t>Vor Personal / IT / Objekt</w:t>
            </w:r>
          </w:p>
        </w:tc>
        <w:tc>
          <w:tcPr>
            <w:tcW w:type="dxa" w:w="4850"/>
            <w:tcMar>
              <w:top w:w="55" w:type="dxa"/>
              <w:start w:w="55" w:type="dxa"/>
              <w:bottom w:w="55" w:type="dxa"/>
              <w:end w:w="55" w:type="dxa"/>
            </w:tcMar>
          </w:tcPr>
          <w:p>
            <w:pPr>
              <w:spacing w:after="0" w:line="230" w:lineRule="auto" w:before="0"/>
            </w:pPr>
            <w:r>
              <w:rPr>
                <w:rFonts w:ascii="Arial" w:hAnsi="Arial" w:eastAsia="Arial"/>
                <w:color w:val="243447"/>
                <w:sz w:val="16"/>
              </w:rPr>
              <w:t>Business Case, Downside, Finanzierung, Verantwortlichkeit und Exit</w:t>
            </w:r>
          </w:p>
        </w:tc>
        <w:tc>
          <w:tcPr>
            <w:tcW w:type="dxa" w:w="3100"/>
            <w:tcMar>
              <w:top w:w="55" w:type="dxa"/>
              <w:start w:w="55" w:type="dxa"/>
              <w:bottom w:w="55" w:type="dxa"/>
              <w:end w:w="55" w:type="dxa"/>
            </w:tcMar>
          </w:tcPr>
          <w:p>
            <w:pPr>
              <w:spacing w:after="0" w:line="230" w:lineRule="auto" w:before="0"/>
            </w:pPr>
            <w:r>
              <w:rPr>
                <w:rFonts w:ascii="Arial" w:hAnsi="Arial" w:eastAsia="Arial"/>
                <w:color w:val="243447"/>
                <w:sz w:val="16"/>
              </w:rPr>
              <w:t>schriftliches Go/No-Go der Geschäftsführung</w:t>
            </w:r>
          </w:p>
        </w:tc>
      </w:tr>
    </w:tbl>
    <w:p>
      <w:pPr>
        <w:pStyle w:val="Heading2"/>
        <w:keepNext/>
        <w:pBdr>
          <w:bottom w:val="single" w:sz="8" w:space="6" w:color="B08D57"/>
        </w:pBdr>
        <w:spacing w:after="50" w:before="100" w:line="240" w:lineRule="auto"/>
      </w:pPr>
      <w:r>
        <w:rPr>
          <w:rFonts w:ascii="Arial" w:hAnsi="Arial" w:eastAsia="Arial" w:cs="Arial"/>
          <w:b/>
          <w:color w:val="1E3A5F"/>
          <w:sz w:val="24"/>
        </w:rPr>
        <w:t>Zielbild nach 36 Monaten</w:t>
      </w:r>
    </w:p>
    <w:p>
      <w:pPr>
        <w:pStyle w:val="BodyText"/>
        <w:spacing w:after="44" w:before="0" w:line="245" w:lineRule="auto"/>
        <w:jc w:val="both"/>
      </w:pPr>
      <w:r>
        <w:rPr>
          <w:rFonts w:ascii="Arial" w:hAnsi="Arial" w:eastAsia="Arial"/>
          <w:i w:val="0"/>
          <w:color w:val="243447"/>
          <w:sz w:val="19"/>
        </w:rPr>
        <w:t>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p>
      <w:pPr>
        <w:spacing w:before="0" w:after="44" w:line="245" w:lineRule="auto"/>
        <w:shd w:fill="F7F3EA"/>
        <w:pBdr>
          <w:left w:val="single" w:sz="18" w:space="10" w:color="B08D57"/>
        </w:pBdr>
        <w:ind w:left="180" w:right="120"/>
      </w:pPr>
      <w:r>
        <w:rPr>
          <w:rFonts w:ascii="Arial" w:hAnsi="Arial" w:eastAsia="Arial"/>
          <w:b/>
          <w:color w:val="B08D57"/>
          <w:sz w:val="19"/>
        </w:rPr>
        <w:t xml:space="preserve">ZIELBILD  </w:t>
      </w:r>
      <w:r>
        <w:rPr>
          <w:rFonts w:ascii="Arial" w:hAnsi="Arial" w:eastAsia="Arial"/>
          <w:color w:val="243447"/>
          <w:sz w:val="19"/>
        </w:rPr>
        <w:t>AMAVIO wird zuerst zum verlässlichen Systempartner für Workforce Housing und Arrival Management. Kapitalintensive Expansion ist eine Option aus Stärke – kein Ersatz für ein noch nicht bewiesenes Kerngeschäft.</w:t>
      </w:r>
    </w:p>
    <w:p>
      <w:pPr>
        <w:pStyle w:val="Heading2"/>
        <w:spacing w:after="50" w:before="100" w:line="240" w:lineRule="auto"/>
      </w:pPr>
      <w:r>
        <w:rPr>
          <w:sz w:val="24"/>
        </w:rPr>
        <w:t>Schlussfolgerung und Dokumentenarchitektur</w:t>
      </w:r>
    </w:p>
    <w:p>
      <w:pPr>
        <w:pStyle w:val="BodyText"/>
        <w:spacing w:after="44" w:before="0" w:line="245" w:lineRule="auto"/>
      </w:pPr>
      <w:r>
        <w:rPr>
          <w:sz w:val="19"/>
        </w:rPr>
        <w:t>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pPr>
        <w:spacing w:after="40" w:before="0" w:line="240" w:lineRule="auto"/>
      </w:pPr>
      <w:r>
        <w:rPr>
          <w:b/>
          <w:sz w:val="18"/>
        </w:rPr>
        <w:t xml:space="preserve">DOKUMENTENARCHITEKTUR  </w:t>
      </w:r>
      <w:r>
        <w:rPr>
          <w:sz w:val="18"/>
        </w:rPr>
        <w:t>Diese Kernfassung enthält die entscheidungsrelevante Geschäfts-, Markt-, Betriebs- und Finanzlogik. Detailquellen, Einreichungsregister, Nachweise, Gründer-CV, private Bedarfsrechnung und das 36-Monats-Finanzmodell werden als separate Anlagen beziehungsweise Detailband geführt.</w:t>
      </w:r>
    </w:p>
    <w:sectPr w:rsidR="00FC693F" w:rsidRPr="0006063C" w:rsidSect="00034616">
      <w:headerReference w:type="default" r:id="rId9"/>
      <w:footerReference w:type="default" r:id="rId10"/>
      <w:pgSz w:w="11906" w:h="16838"/>
      <w:pgMar w:top="850" w:right="850" w:bottom="794"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color w:val="5B6B7A"/>
        <w:sz w:val="16"/>
      </w:rPr>
      <w:t xml:space="preserve">AMAVIO Holding UG (haftungsbeschränkt)  ·  Vertraulich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D8E1E8"/>
      </w:pBdr>
    </w:pPr>
    <w:r>
      <w:rPr>
        <w:rFonts w:ascii="Arial" w:hAnsi="Arial" w:eastAsia="Arial" w:cs="Arial"/>
        <w:b/>
        <w:color w:val="5B6B7A"/>
        <w:sz w:val="16"/>
      </w:rPr>
      <w:t>AMAVIO  |  BUSINESSPLAN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rial" w:hAnsi="Arial"/>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40" w:lineRule="auto"/>
      <w:outlineLvl w:val="0"/>
    </w:pPr>
    <w:rPr>
      <w:rFonts w:asciiTheme="majorHAnsi" w:eastAsiaTheme="majorEastAsia" w:hAnsiTheme="majorHAnsi" w:cstheme="majorBidi" w:ascii="Arial" w:hAnsi="Arial"/>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00" w:after="50" w:line="240" w:lineRule="auto"/>
      <w:outlineLvl w:val="1"/>
    </w:pPr>
    <w:rPr>
      <w:rFonts w:asciiTheme="majorHAnsi" w:eastAsiaTheme="majorEastAsia" w:hAnsiTheme="majorHAnsi" w:cstheme="majorBidi" w:ascii="Arial" w:hAnsi="Arial"/>
      <w:b/>
      <w:bCs/>
      <w:color w:val="1E3A5F"/>
      <w:sz w:val="24"/>
      <w:szCs w:val="26"/>
    </w:rPr>
  </w:style>
  <w:style w:type="paragraph" w:styleId="Heading3">
    <w:name w:val="heading 3"/>
    <w:basedOn w:val="Normal"/>
    <w:next w:val="Normal"/>
    <w:link w:val="Heading3Char"/>
    <w:uiPriority w:val="9"/>
    <w:unhideWhenUsed/>
    <w:qFormat/>
    <w:rsid w:val="00FC693F"/>
    <w:pPr>
      <w:keepNext/>
      <w:keepLines/>
      <w:spacing w:before="70" w:after="30" w:line="240" w:lineRule="auto"/>
      <w:outlineLvl w:val="2"/>
    </w:pPr>
    <w:rPr>
      <w:rFonts w:asciiTheme="majorHAnsi" w:eastAsiaTheme="majorEastAsia" w:hAnsiTheme="majorHAnsi" w:cstheme="majorBidi" w:ascii="Arial" w:hAnsi="Arial"/>
      <w:b/>
      <w:bCs/>
      <w:color w:val="102A4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44" w:line="245" w:lineRule="auto"/>
    </w:pPr>
    <w:rPr>
      <w:rFonts w:ascii="Arial" w:hAnsi="Arial"/>
      <w:color w:val="24344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0"/>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 Businessplan Kernfassung</dc:title>
  <dc:subject>Workforce Housing &amp; Integration</dc:subject>
  <dc:creator>Zaki Amawi</dc:creator>
  <cp:keywords>AMAVIO Living, Workforce Housing, Integration</cp:keywords>
  <dc:description>P0 remediation integrated: financing convention, cash-model qualification and P1 operating systems.</dc:description>
  <cp:lastModifiedBy/>
  <cp:revision>1</cp:revision>
  <dcterms:created xsi:type="dcterms:W3CDTF">2013-12-23T23:15:00Z</dcterms:created>
  <dcterms:modified xsi:type="dcterms:W3CDTF">2026-07-28T00:00:00Z</dcterms:modified>
  <cp:category/>
</cp:coreProperties>
</file>