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800"/>
              <w:left w:type="dxa" w:w="500"/>
              <w:bottom w:type="dxa" w:w="600"/>
              <w:right w:type="dxa" w:w="500"/>
            </w:tcMar>
          </w:tcPr>
          <w:p>
            <w:pPr>
              <w:spacing w:after="24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18"/>
                <w:szCs w:val="18"/>
              </w:rPr>
              <w:t xml:space="preserve">━━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80"/>
                <w:sz w:val="18"/>
                <w:szCs w:val="18"/>
              </w:rPr>
              <w:t xml:space="preserve">AMAVIO LIVING · ABGABEPAKET 2026 · LESEHILFE</w:t>
            </w:r>
          </w:p>
          <w:p>
            <w:pPr>
              <w:spacing w:after="300" w:line="4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Legende &amp;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Aktenverzeichnis.</w:t>
            </w:r>
          </w:p>
          <w:p>
            <w:pPr>
              <w:spacing w:after="200" w:line="320"/>
            </w:pPr>
            <w:r>
              <w:rPr>
                <w:rFonts w:ascii="Calibri" w:cs="Calibri" w:eastAsia="Calibri" w:hAnsi="Calibri"/>
                <w:color w:val="C7CFDD"/>
                <w:sz w:val="22"/>
                <w:szCs w:val="22"/>
              </w:rPr>
              <w:t xml:space="preserve">Wegweiser durch das gesamte Abgabepaket – Zahlen, Begriffe, Dateien, Prüfstatus.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0AAB8"/>
                <w:sz w:val="16"/>
                <w:szCs w:val="16"/>
              </w:rPr>
              <w:t xml:space="preserve">AMAVIO Holding UG (haftungsbeschränkt) · Düsseldorf · v2.2 · 28. Juli 2026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01 · AKTENVERZEICHNIS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Welche Datei erfüllt welchen Zweck.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Das Abgabepaket ist so gebaut, dass jede Datei einen anderen Prüfhorizont bedient. Wer wenig Zeit hat, liest zuerst den One-Pager oder Anlage 3.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Ordner-Struktur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960"/>
        <w:gridCol w:w="3060"/>
      </w:tblGrid>
      <w:tr>
        <w:trPr>
          <w:tblHeader/>
        </w:trPr>
        <w:tc>
          <w:tcPr>
            <w:tcW w:type="pct" w:w="22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Ordner</w:t>
            </w:r>
          </w:p>
        </w:tc>
        <w:tc>
          <w:tcPr>
            <w:tcW w:type="pct" w:w="4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Inhalt</w:t>
            </w:r>
          </w:p>
        </w:tc>
        <w:tc>
          <w:tcPr>
            <w:tcW w:type="pct" w:w="3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Für wen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01_Businessplan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Volltext Businessplan Master v2.2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Bank, Förderstelle, IHK: fachliche Vollprüfung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02_Finanzmodell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36-Monats-Excel v1.8 (recalc, mit Cache)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Kaufmännische Prüfung, Bank, Steuerberater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03_Anlagen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Anlage 1 Datenraum · Anlage 2 KPI-Cockpit · Anlage 3 Q&amp;A · Nachweispaket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Zusatznachweise, Steuerung, Compliance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04_Decks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One-Pager · Employer · Investor · Partner Decks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B2B-Vertrieb, Investor-Talks, Partnerprofile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99_QA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Extrakte, Audit-Reports, Layout-Prüfungen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Interne Qualitätssicherung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_backups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Ältere Versionen (v2.1 PREV, v1.7 Pre-Recalc etc.)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Rückverfolgbarkeit; nicht Teil der Abgabe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Führende Abgabedateien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80"/>
        <w:gridCol w:w="3420"/>
      </w:tblGrid>
      <w:tr>
        <w:trPr>
          <w:tblHeader/>
        </w:trPr>
        <w:tc>
          <w:tcPr>
            <w:tcW w:type="pct" w:w="5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Datei</w:t>
            </w:r>
          </w:p>
        </w:tc>
        <w:tc>
          <w:tcPr>
            <w:tcW w:type="pct" w:w="12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Version</w:t>
            </w:r>
          </w:p>
        </w:tc>
        <w:tc>
          <w:tcPr>
            <w:tcW w:type="pct" w:w="3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AMAVIO_Living_Businessplan_Master_2026_v2_2_FINAL.docx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Führendes Dokument. Enthält alle Kapitel 1–14 mit modernisiertem Layout.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AMAVIO_Finanzmodell_36_Monate_v1_8_FINAL.xlsx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v1.8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14 Sheets, 2.062 Formelzellen mit gecachten Werten. Fehlerfrei.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AMAVIO_Anlage_1_Datenraum_und_Due_Diligence_2026_v2_1_FINAL.pdf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Datenraum-Index für Due Diligence.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AMAVIO_Anlage_2_KPI_Steuerungscockpit_2026_v2_2_FINAL.docx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Operatives Cockpit mit Definitionen, Warnschwellen, Managementreaktionen.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AMAVIO_Anlage_3_Executive_Summary_und_QA_2026_v2_2_FINAL.docx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5-Minuten-Kurzfassung für Entscheider mit Q&amp;A.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AMAVIO_Anlagen_und_Nachweispaket_2026_v2_1_FINAL.pdf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v2.1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Nachweispaket, Seite 8 mit korrektem Textlayer (93.500 EUR).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AMAVIO_Living_One_Pager_v2_2_FINAL.pptx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v2.2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Eine-Seiten-Entscheidungsvorlage.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AMAVIO_Living_Employer_Decision_Deck_v5_2_FINAL.pptx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v5.2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12-Slide Arbeitgeber-Entscheidungsdeck.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AMAVIO_Living_Investor_Readiness_Deck_v3_2_FINAL.pptx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v3.2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9-Slide Investor Readiness (intern).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AMAVIO_Living_Partner_Capability_Deck_v3_2_FINAL.pptx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v3.2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7-Slide Partnerprofil.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02 · KANONISCHE ZAHLEN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Die einzige gültige Zahlenbasis.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Alle Dokumente verwenden diese Werte. Widersprüche wären ein Prüfungsfehler und werden nicht toleriert. Quelle: 36-Monats-Finanzmodell v1.8, geprüft am 28. Juli 2026.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Base Case Umsatz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93.500 €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PLAN J1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 · unter Gründerkapazität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4F1EA" w:color="F4F1EA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40"/>
                <w:szCs w:val="40"/>
              </w:rPr>
              <w:t xml:space="preserve">269.000 €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PLAN J2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E6858"/>
                <w:sz w:val="16"/>
                <w:szCs w:val="16"/>
              </w:rPr>
              <w:t xml:space="preserve">Base Case · wiederholbare Delivery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442.000 €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PLAN J3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 · Standardisierung</w:t>
            </w:r>
          </w:p>
        </w:tc>
      </w:tr>
    </w:tbl>
    <w:p>
      <w:pPr>
        <w:spacing w:after="60" w:before="10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 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Base Case EBITDA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34.950 €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J1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4F1EA" w:color="F4F1EA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40"/>
                <w:szCs w:val="40"/>
              </w:rPr>
              <w:t xml:space="preserve">120.320 €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169.300 €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J3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Kapital &amp; Preisbasis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4140"/>
      </w:tblGrid>
      <w:tr>
        <w:trPr>
          <w:tblHeader/>
        </w:trPr>
        <w:tc>
          <w:tcPr>
            <w:tcW w:type="pct" w:w="3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Größe</w:t>
            </w:r>
          </w:p>
        </w:tc>
        <w:tc>
          <w:tcPr>
            <w:tcW w:type="pct" w:w="2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Wert</w:t>
            </w:r>
          </w:p>
        </w:tc>
        <w:tc>
          <w:tcPr>
            <w:tcW w:type="pct" w:w="46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Startkapitalbedarf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25.000 €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10.200 € unmittelbar anlaufende Kosten + 14.800 € Betriebsmittel-/Risikoreserve.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Stammkapital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500 €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Teil der Startfinanzierung; UG-Standard.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Zuführung / Darlehen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24.500 €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Vor Live-Freigabe dokumentieren.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Launch-Preis netto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29.500 €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Produktpreis für Cohort Landing Launch. Zzgl. Fremdkosten.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Blueprint-Preis Pilot ab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12.500 €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Netto · 4–6 Wochen · Entscheidungsvorlage.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Arrival Office Setup ab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15.000 €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Retainer ab 4.500 €/Monat.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Mindestliquidität J1 / J2 / J3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10.000 € / 15.000 € / 25.000 €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Unterschreitung löst Ausgabenstopp aus.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Gründerbezug brutto/Mon. J1 / J2 / J3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2.500 € / 3.500 € / 5.000 €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Konservativ, an KPI-Ampel gekoppelt.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Downside-Szenario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1" w:color="C9A961" w:val="solid"/>
          </w:tcPr>
          <w:p>
            <w: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F4F1E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 w:line="320"/>
            </w:pPr>
            <w:r>
              <w:rPr>
                <w:rFonts w:ascii="Georgia" w:cs="Georgia" w:eastAsia="Georgia" w:hAnsi="Georgia"/>
                <w:color w:val="1E3A5F"/>
                <w:sz w:val="24"/>
                <w:szCs w:val="24"/>
              </w:rPr>
              <w:t xml:space="preserve">45 % der Base-Case-Umsätze; fixe Kosten bleiben unverändert. Ergebnis wäre negativ. Bei &lt;60 % des rollierenden 3-Monats-Base-Case oder Unterschreiten der Mindestliquidität greift der automatische Ausgaben-, Personal- und Objektbindungsstopp.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6E6858"/>
                <w:spacing w:val="50"/>
                <w:sz w:val="16"/>
                <w:szCs w:val="16"/>
              </w:rPr>
              <w:t xml:space="preserve">DOWNSIDE-AUTOMATIK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03 · BEGRIFFS-LEGENDE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Was welcher Begriff genau bedeutet.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Ähnlich klingende Begriffe werden bewusst getrennt geführt. Verwechslungen führen zu falschen Rückfragen bei Bank oder Förderstelle.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240"/>
      </w:tblGrid>
      <w:tr>
        <w:trPr>
          <w:tblHeader/>
        </w:trPr>
        <w:tc>
          <w:tcPr>
            <w:tcW w:type="pct" w:w="2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Begriff</w:t>
            </w:r>
          </w:p>
        </w:tc>
        <w:tc>
          <w:tcPr>
            <w:tcW w:type="pct" w:w="4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Bedeutung</w:t>
            </w:r>
          </w:p>
        </w:tc>
        <w:tc>
          <w:tcPr>
            <w:tcW w:type="pct" w:w="36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NICHT zu verwechseln mit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Startkapitalbedarf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25.000 € Gesamtbedarf zur Unternehmensgründung + Betriebsmittel-Reserve.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Launch-Preis (Produktpreis für Kunden) oder CAPEX für ein einzelnes Objekt.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Startfinanzierung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Der geplante Mittelzufluss von 25.000 € bis Live-Freigabe. Derzeit CONDITIONAL.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Bereits eingezahlte Mittel (aktuell 0 € dokumentiert).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Launch-Preis netto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29.500 € netto — Startpreis für den Cohort Landing Launch, zzgl. Fremdkosten.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Startkapitalbedarf oder ein Rundum-sorglos-Paket.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Mindestliquidität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Freie Liquidität pro Jahr (10 / 15 / 25 Tsd. €), die AMAVIO nie unterschreiten darf.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Umsatz oder Gewinn.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Base Case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Konservative Standard-Planung im Finanzmodell.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Zusagen an Kunden oder Investoren.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Downside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45 %-Umsatz-Szenario mit unveränderten Fixkosten.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Krise oder Insolvenz-Szenario.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Live-Freigabe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Zeitpunkt, an dem alle P1-Gates erledigt sind und AMAVIO Verträge eingehen darf.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Registerlicher Gründungsakt (bereits erfolgt).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CONDITIONAL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Modellstatus, solange dokumentierter Mittelzufluss = 0 €.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Rechtlicher Vorbehalt zur Rechtsform.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Blueprint / Launch / Office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Drei Leistungspakete mit definiertem Preis und Umfang.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Umsatzquellen — alle drei können parallel oder einzeln laufen.</w:t>
            </w:r>
          </w:p>
        </w:tc>
      </w:tr>
      <w:t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§ 34c GewO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Gewerbeordnung-Erlaubnis für Immobilienvermittlung.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Reine Projekt- oder Beratungstätigkeit (nicht zwingend § 34c-pflichtig).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04 · AMPEL-LEGENDE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Wie Statusfarben zu lesen sind.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880"/>
        <w:gridCol w:w="4860"/>
      </w:tblGrid>
      <w:tr>
        <w:trPr>
          <w:tblHeader/>
        </w:trPr>
        <w:tc>
          <w:tcPr>
            <w:tcW w:type="pct" w:w="1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Farbe</w:t>
            </w:r>
          </w:p>
        </w:tc>
        <w:tc>
          <w:tcPr>
            <w:tcW w:type="pct" w:w="32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Bedeutung</w:t>
            </w:r>
          </w:p>
        </w:tc>
        <w:tc>
          <w:tcPr>
            <w:tcW w:type="pct" w:w="5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Reaktion</w:t>
            </w:r>
          </w:p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GRÜN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Innerhalb Zielkorridor.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Keine Sondermaßnahme; Routine läuft.</w:t>
            </w:r>
          </w:p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GELB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Warnschwelle erreicht.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Ursachenanalyse + klarer Eigentümer binnen 5 Arbeitstagen.</w:t>
            </w:r>
          </w:p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ROT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Schwelle überschritten.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Entscheidung im Management-Review; neue langfristige Verpflichtungen werden bis zur Korrektur nicht eingegangen.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P1 Gates (vor Abgabe zwingend)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pct" w:w="4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Gate</w:t>
            </w:r>
          </w:p>
        </w:tc>
        <w:tc>
          <w:tcPr>
            <w:tcW w:type="pct" w:w="4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Excel Recalc + Cache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2.062 Formeln gecacht, 0 Fehler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Gründung / IT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Nachweispaket Textlayer 93.500 €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Seite 8 sichtbar + textlayer korrigiert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Gründung / Dokumentation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Startkapital-Mittelzufluss dokumentieren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GELB — Bankbeleg + Gesellschafterbeschluss offen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Gründung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Rechts-/§ 34c-Abgrenzung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GELB — Vermerk verfasst, notarielle Prüfung offen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Recht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Unternehmensgegenstand-Klärung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GELB — Satzungsänderung vorbereitet, nicht beschlossen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Recht / Notariat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Konkreter Nachfragebeweis (Pipeline)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GELB — Zielaccount-Liste aktiv, LOI noch offen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Vertrieb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P2 (inhaltlich stark verbessern)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420"/>
        <w:gridCol w:w="2520"/>
      </w:tblGrid>
      <w:tr>
        <w:trPr>
          <w:tblHeader/>
        </w:trPr>
        <w:tc>
          <w:tcPr>
            <w:tcW w:type="pct" w:w="34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Bereich</w:t>
            </w:r>
          </w:p>
        </w:tc>
        <w:tc>
          <w:tcPr>
            <w:tcW w:type="pct" w:w="3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Status</w:t>
            </w:r>
          </w:p>
        </w:tc>
        <w:tc>
          <w:tcPr>
            <w:tcW w:type="pct" w:w="2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Nächster Schritt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Förder-/Finanzierungsstrategie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GELB — im Finanzmodell als Szenario-Schalter angelegt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KfW 266 · KFN 297/298 · KNN 296 · BEG · Junges Wohnen prüfen.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Cash-Timing-Stress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Sheet Cash_Timing_Stress im Modell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Regelmäßiges Update.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Wettbewerbs-/Ersatzmatrix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in Master Kapitel 4 aufgenommen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Krankenhausreform-Kontext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Reformdruck als Bruecke im Master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KPI-Cockpit operationalisieren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— Anlage 2 v2.2 mit Owner/Frist/Quelle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05 · DESIGN-SYSTEM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Wie das Abgabepaket visuell funktioniert.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Ab v2.2 folgen alle Dokumente einem einheitlichen visuellen System. Ziel: Prüfer sollen Kernaussagen sofort erkennen, ohne durch Textwände zu waten.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Farb- und Schriftsystem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pct" w:w="7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Primärfarbe (Navy)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#1E3A5F — Überschriften, Header, dunkle KPI-Kacheln, Cover.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Akzentfarbe (Gold)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#C9A961 — Eyebrows, Hairlines, Gate-Marker, Callout-Kanten.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Hintergrund Papier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#FFFFFF · Standardpapier · #F4F1EA · Gold-getönte Callout-Boxen.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Ampel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Grün #4A7B57 · Gelb #D9A441 · Rot #B54B4B.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Headline-Schrift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Georgia (system-safe, seriös).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Body-Schrift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Calibri (Standard-Office).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Regel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Titel ≥28 pt (Deck) bzw. ≥20 pt (DOCX). Body ≥16 pt (Deck) bzw. ≥11 pt (DOCX). Nie unter diesen Grenzen.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Wiederkehrende Komponenten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A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Lead-Callout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Gold-Kante links, italic, für Kernaussagen.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B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KPI-Kachel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Große Zahl + Label + Kurzhinweis.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C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Step-Card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Nummerierte Karte 01/02/... für Prozess-Serien.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none" w:color="FFFFFF" w:sz="0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D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Clean-Tabelle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Navy-Header, alternierende Zeilen, keine harten Rahmen.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Was NICHT mehr vorkommt</w:t>
      </w:r>
    </w:p>
    <w:p>
      <w:pPr>
        <w:spacing w:after="40" w:before="40" w:line="280"/>
        <w:ind w:left="360" w:hanging="200"/>
      </w:pPr>
      <w:r>
        <w:rPr>
          <w:rFonts w:ascii="Georgia" w:cs="Georgia" w:eastAsia="Georgia" w:hAnsi="Georgia"/>
          <w:b/>
          <w:bCs/>
          <w:color w:val="C9A961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0F1B2E"/>
          <w:sz w:val="21"/>
          <w:szCs w:val="21"/>
        </w:rPr>
        <w:t xml:space="preserve">Tabellenzellen mit ganzen Absätzen und mini-Fließtext — durch Callout, Step-Card oder Clean-Tabelle ersetzt.</w:t>
      </w:r>
    </w:p>
    <w:p>
      <w:pPr>
        <w:spacing w:after="40" w:before="40" w:line="280"/>
        <w:ind w:left="360" w:hanging="200"/>
      </w:pPr>
      <w:r>
        <w:rPr>
          <w:rFonts w:ascii="Georgia" w:cs="Georgia" w:eastAsia="Georgia" w:hAnsi="Georgia"/>
          <w:b/>
          <w:bCs/>
          <w:color w:val="C9A961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0F1B2E"/>
          <w:sz w:val="21"/>
          <w:szCs w:val="21"/>
        </w:rPr>
        <w:t xml:space="preserve">Schriftgrößen unter 8 pt — jetzt Mindestgröße 11 pt (DOCX) / 16 pt (Deck).</w:t>
      </w:r>
    </w:p>
    <w:p>
      <w:pPr>
        <w:spacing w:after="40" w:before="40" w:line="280"/>
        <w:ind w:left="360" w:hanging="200"/>
      </w:pPr>
      <w:r>
        <w:rPr>
          <w:rFonts w:ascii="Georgia" w:cs="Georgia" w:eastAsia="Georgia" w:hAnsi="Georgia"/>
          <w:b/>
          <w:bCs/>
          <w:color w:val="C9A961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0F1B2E"/>
          <w:sz w:val="21"/>
          <w:szCs w:val="21"/>
        </w:rPr>
        <w:t xml:space="preserve">14–23 Textobjekte pro Slide — jetzt max. 8, meist 4–6.</w:t>
      </w:r>
    </w:p>
    <w:p>
      <w:pPr>
        <w:spacing w:after="40" w:before="40" w:line="280"/>
        <w:ind w:left="360" w:hanging="200"/>
      </w:pPr>
      <w:r>
        <w:rPr>
          <w:rFonts w:ascii="Georgia" w:cs="Georgia" w:eastAsia="Georgia" w:hAnsi="Georgia"/>
          <w:b/>
          <w:bCs/>
          <w:color w:val="C9A961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0F1B2E"/>
          <w:sz w:val="21"/>
          <w:szCs w:val="21"/>
        </w:rPr>
        <w:t xml:space="preserve">Doppelte Deck-Versionen (englisch/deutsch, v3 und v5) — nur eine kanonische Version je Deck.</w:t>
      </w:r>
    </w:p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06 · NÄCHSTE SCHRITTE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Was jetzt noch geschieht — vor Abgabe.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28"/>
                <w:szCs w:val="28"/>
              </w:rPr>
              <w:t xml:space="preserve">01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18"/>
                <w:szCs w:val="18"/>
              </w:rPr>
              <w:t xml:space="preserve">Mittelzufluss dokumentieren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6"/>
                <w:szCs w:val="16"/>
              </w:rPr>
              <w:t xml:space="preserve">Bankbeleg + Gesellschafterbeschluss.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28"/>
                <w:szCs w:val="28"/>
              </w:rPr>
              <w:t xml:space="preserve">02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18"/>
                <w:szCs w:val="18"/>
              </w:rPr>
              <w:t xml:space="preserve">Satzung / § 34c prüfen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6"/>
                <w:szCs w:val="16"/>
              </w:rPr>
              <w:t xml:space="preserve">Notariat + Rechtsberatung.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28"/>
                <w:szCs w:val="28"/>
              </w:rPr>
              <w:t xml:space="preserve">03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18"/>
                <w:szCs w:val="18"/>
              </w:rPr>
              <w:t xml:space="preserve">Zielaccount-Pipeline führen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6"/>
                <w:szCs w:val="16"/>
              </w:rPr>
              <w:t xml:space="preserve">40–60 Accounts, mind. 4 qualifizierte Gespräche.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none" w:color="FFFFFF" w:sz="0"/>
            </w:tcBorders>
            <w:shd w:fill="F4F1EA" w:color="F4F1EA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28"/>
                <w:szCs w:val="28"/>
              </w:rPr>
              <w:t xml:space="preserve">04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18"/>
                <w:szCs w:val="18"/>
              </w:rPr>
              <w:t xml:space="preserve">Erstes Mandat abschließen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6"/>
                <w:szCs w:val="16"/>
              </w:rPr>
              <w:t xml:space="preserve">Blueprint oder Launch — mit Anzahlung.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1" w:color="C9A961" w:val="solid"/>
          </w:tcPr>
          <w:p>
            <w: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F4F1E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 w:line="320"/>
            </w:pPr>
            <w:r>
              <w:rPr>
                <w:rFonts w:ascii="Georgia" w:cs="Georgia" w:eastAsia="Georgia" w:hAnsi="Georgia"/>
                <w:color w:val="1E3A5F"/>
                <w:sz w:val="24"/>
                <w:szCs w:val="24"/>
              </w:rPr>
              <w:t xml:space="preserve">Der nächste sinnvolle Schritt ist keine offene Kapital- oder Objektzusage, sondern die Prüfung der Startreife anhand des Datenraum-Index. Dieses Legende-Dokument macht sichtbar, welche Belege heute vorliegen und welche noch offen sind.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6E6858"/>
                <w:spacing w:val="50"/>
                <w:sz w:val="16"/>
                <w:szCs w:val="16"/>
              </w:rPr>
              <w:t xml:space="preserve">AMAVIO NEXT STEP · v2.2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E6858"/>
        <w:sz w:val="14"/>
        <w:szCs w:val="14"/>
      </w:rPr>
      <w:t xml:space="preserve">AMAVIO Holding UG (haftungsbeschränkt) · Düsseldorf · v2.2</w:t>
    </w:r>
    <w:r>
      <w:rPr>
        <w:rFonts w:ascii="Calibri" w:cs="Calibri" w:eastAsia="Calibri" w:hAnsi="Calibri"/>
        <w:color w:val="6E6858"/>
        <w:sz w:val="14"/>
        <w:szCs w:val="14"/>
      </w:rPr>
      <w:t xml:space="preserve">                                                                                                                        Seite </w:t>
    </w:r>
    <w:r>
      <w:rPr>
        <w:rFonts w:ascii="Calibri" w:cs="Calibri" w:eastAsia="Calibri" w:hAnsi="Calibri"/>
        <w:b/>
        <w:bCs/>
        <w:color w:val="6E68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858"/>
        <w:sz w:val="14"/>
        <w:szCs w:val="14"/>
      </w:rPr>
      <w:t xml:space="preserve"> von </w:t>
    </w:r>
    <w:r>
      <w:rPr>
        <w:rFonts w:ascii="Calibri" w:cs="Calibri" w:eastAsia="Calibri" w:hAnsi="Calibri"/>
        <w:b/>
        <w:bCs/>
        <w:color w:val="6E68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4"/>
      </w:pBdr>
      <w:spacing w:after="0" w:before="0"/>
    </w:pPr>
    <w:r>
      <w:rPr>
        <w:rFonts w:ascii="Georgia" w:cs="Georgia" w:eastAsia="Georgia" w:hAnsi="Georgia"/>
        <w:b/>
        <w:bCs/>
        <w:color w:val="1E3A5F"/>
        <w:spacing w:val="60"/>
        <w:sz w:val="18"/>
        <w:szCs w:val="18"/>
      </w:rPr>
      <w:t xml:space="preserve">AMAVIO  ·  LIVING</w:t>
    </w:r>
    <w:r>
      <w:rPr>
        <w:rFonts w:ascii="Calibri" w:cs="Calibri" w:eastAsia="Calibri" w:hAnsi="Calibri"/>
        <w:color w:val="6E6858"/>
        <w:spacing w:val="40"/>
        <w:sz w:val="14"/>
        <w:szCs w:val="14"/>
      </w:rPr>
      <w:t xml:space="preserve">     WORKFORCE HOUSING &amp; INTEGRATION</w:t>
    </w:r>
    <w:r>
      <w:rPr>
        <w:rFonts w:ascii="Calibri" w:cs="Calibri" w:eastAsia="Calibri" w:hAnsi="Calibri"/>
        <w:color w:val="C9A961"/>
        <w:spacing w:val="40"/>
        <w:sz w:val="14"/>
        <w:szCs w:val="14"/>
      </w:rPr>
      <w:t xml:space="preserve">                                          LEGENDE &amp; AKTENVERZEICHNIS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AMAVIO Legende &amp; Aktenverzeichnis v2.2</dc:title>
  <dc:creator>AMAVIO Holding UG</dc:creator>
  <cp:lastModifiedBy>Un-named</cp:lastModifiedBy>
  <cp:revision>1</cp:revision>
  <dcterms:created xsi:type="dcterms:W3CDTF">2026-07-28T20:45:38.075Z</dcterms:created>
  <dcterms:modified xsi:type="dcterms:W3CDTF">2026-07-28T20:45:38.077Z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