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40"/>
      </w:pPr>
      <w:r>
        <w:rPr>
          <w:rFonts w:ascii="Aptos" w:hAnsi="Aptos"/>
          <w:b/>
          <w:i w:val="0"/>
          <w:color w:val="B6813E"/>
          <w:sz w:val="18"/>
        </w:rPr>
        <w:t>AMAVIO LIVING · ANLAGENPAKET 2026</w:t>
      </w:r>
    </w:p>
    <w:p>
      <w:pPr>
        <w:spacing w:after="100"/>
      </w:pPr>
      <w:r>
        <w:rPr>
          <w:rFonts w:ascii="Aptos" w:hAnsi="Aptos"/>
          <w:b/>
          <w:i w:val="0"/>
          <w:color w:val="183C32"/>
          <w:sz w:val="50"/>
        </w:rPr>
        <w:t>Executive Summary &amp; Q&amp;A</w:t>
      </w:r>
    </w:p>
    <w:p>
      <w:pPr>
        <w:spacing w:after="340"/>
      </w:pPr>
      <w:r>
        <w:rPr>
          <w:rFonts w:ascii="Aptos" w:hAnsi="Aptos"/>
          <w:b w:val="0"/>
          <w:i w:val="0"/>
          <w:color w:val="245B4B"/>
          <w:sz w:val="26"/>
        </w:rPr>
        <w:t>Fünf-Minuten-Entscheidungsvorlage für Bank, Förderstelle und strategische B2B-Partner.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7"/>
            <w:shd w:fill="F3EFE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B6813E"/>
              <w:left w:val="nil"/>
              <w:bottom w:val="single" w:sz="8" w:color="B6813E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83C32"/>
                <w:sz w:val="20"/>
              </w:rPr>
              <w:t>AMAVIO Living löst eine operative Lücke nach der Personalgewinnung: Wohnraumbeschaffung, Bezugsfertigkeit, Einzug und Stabilisierung werden als verantwortete B2B-Leistung organisiert. Das Dokument ergänzt den ausführlichen Businessplan; es ersetzt weder dessen Nachweise noch eine rechtliche oder steuerliche Einzelfallprüfung.</w:t>
            </w:r>
          </w:p>
        </w:tc>
      </w:tr>
    </w:tbl>
    <w:p/>
    <w:p>
      <w:pPr>
        <w:pStyle w:val="Heading1"/>
      </w:pPr>
      <w:r>
        <w:t>1. Die Entscheidung in fünf Minuten</w:t>
      </w:r>
    </w:p>
    <w:p>
      <w:pPr>
        <w:spacing w:after="200"/>
      </w:pPr>
      <w:r>
        <w:rPr>
          <w:rFonts w:ascii="Aptos" w:hAnsi="Aptos"/>
          <w:b w:val="0"/>
          <w:i w:val="0"/>
          <w:color w:val="183C32"/>
          <w:sz w:val="21"/>
        </w:rPr>
        <w:t>AMAVIO startet nicht als kapitalintensiver Bestandshalter, sondern als Projekt- und Implementierungspartner für Arbeitgeber mit internationalem Fachkräftebedarf. Der Markteintritt konzentriert sich auf konkrete, bezahlte Mandate und dokumentierbare Delivery. Eigene Anmietung oder Objektbetrieb sind nur eine spätere, separat freizugebende Option.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1"/>
        <w:gridCol w:w="7200"/>
      </w:tblGrid>
      <w:tr>
        <w:trPr>
          <w:tblHeader w:val="true"/>
        </w:trPr>
        <w:tc>
          <w:tcPr>
            <w:tcW w:type="dxa" w:w="2551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Entscheidungsdimension</w:t>
            </w:r>
          </w:p>
        </w:tc>
        <w:tc>
          <w:tcPr>
            <w:tcW w:type="dxa" w:w="7200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AMAVIO-Antwort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8"/>
              </w:rPr>
              <w:t>Problem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8"/>
              </w:rPr>
              <w:t>Arbeitgeber gewinnen Fachkräfte, verlieren jedoch Zeit und Planbarkeit an fragmentierte Wohnraum-, Möblierungs-, Einzugs- und Ankommensprozesse.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8"/>
              </w:rPr>
              <w:t>Lösung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8"/>
              </w:rPr>
              <w:t>Ein Verantwortlicher verbindet Bedarf, Objekt-/Partnerbeschaffung, Bezugsfertigkeit, Einzug, Orientierung und Reporting in klaren Projektphasen.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8"/>
              </w:rPr>
              <w:t>Kunde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8"/>
              </w:rPr>
              <w:t>Zunächst Krankenhäuser, Pflegeanbieter und Recruitingpartner in NRW mit wiederkehrendem internationalem Personalbedarf.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8"/>
              </w:rPr>
              <w:t>Erlösmodell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8"/>
              </w:rPr>
              <w:t>Projekt-, Setup- und laufende Office-Honorare. Miete, Kaution, Möbel, Handwerk, Genehmigungen und sonstige Fremdkosten werden getrennt beauftragt bzw. vorfinanziert.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8"/>
              </w:rPr>
              <w:t>Risikosteuerung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8"/>
              </w:rPr>
              <w:t>Keine langfristige Bindung ohne dokumentierte Finanzierung, rechtliche Einordnung, Kundenscope, Datenrollen und eigene Projekt-/Objektkalkulation.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7"/>
            <w:shd w:fill="FCEEEB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val="single" w:sz="6" w:color="245B4B"/>
              <w:left w:val="nil"/>
              <w:bottom w:val="single" w:sz="6" w:color="245B4B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5B4B"/>
                <w:sz w:val="19"/>
              </w:rPr>
              <w:t xml:space="preserve">Warum jetzt?  </w:t>
            </w:r>
            <w:r>
              <w:rPr>
                <w:rFonts w:ascii="Aptos" w:hAnsi="Aptos"/>
                <w:b w:val="0"/>
                <w:i w:val="0"/>
                <w:color w:val="183C32"/>
                <w:sz w:val="19"/>
              </w:rPr>
              <w:t>Pflege, Gesundheit und weitere Engpassbereiche rekrutieren international; gleichzeitig ist Wohnraum in Ballungsräumen knapp. AMAVIO behauptet nicht, dieses Strukturproblem allein zu lösen. Es schafft für einzelne Arbeitgeber eine steuerbare Umsetzungsinfrastruktur.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2. Geschäftsmodell, Markteintritt und Nachweislogik</w:t>
      </w:r>
    </w:p>
    <w:p>
      <w:pPr>
        <w:spacing w:after="200"/>
      </w:pPr>
      <w:r>
        <w:rPr>
          <w:rFonts w:ascii="Aptos" w:hAnsi="Aptos"/>
          <w:b w:val="0"/>
          <w:i w:val="0"/>
          <w:color w:val="183C32"/>
          <w:sz w:val="21"/>
        </w:rPr>
        <w:t>Der erste Auftrag ist bewusst klein genug definiert, um mit Gründerkapazität sicher geliefert zu werden. Die früheste Skalierung erfolgt über standardisierte Mandate, wiederkehrende Office-Leistungen und qualifizierte Partner – nicht über einen vorzeitigen Aufbau fixer Objekt- oder Personalkosten.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2381"/>
        <w:gridCol w:w="3628"/>
        <w:gridCol w:w="2608"/>
      </w:tblGrid>
      <w:tr>
        <w:trPr>
          <w:tblHeader w:val="true"/>
        </w:trPr>
        <w:tc>
          <w:tcPr>
            <w:tcW w:type="dxa" w:w="1133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Stufe</w:t>
            </w:r>
          </w:p>
        </w:tc>
        <w:tc>
          <w:tcPr>
            <w:tcW w:type="dxa" w:w="2381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Leistung</w:t>
            </w:r>
          </w:p>
        </w:tc>
        <w:tc>
          <w:tcPr>
            <w:tcW w:type="dxa" w:w="3628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Erlös- und Risikologik</w:t>
            </w:r>
          </w:p>
        </w:tc>
        <w:tc>
          <w:tcPr>
            <w:tcW w:type="dxa" w:w="2607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Nachweis vor nächster Stufe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1. Blueprint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Bedarf, Standort- und Wohnraumstrategie, Optionen, Business Case und Projektplan.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Festpreis; klare Entscheidungsvorlage, keine Objektgarantie.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Abnahme, Ist-/Plan-Nachkalkulation und Kundenfeedback.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2. Launch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Objekt-/Partnerkoordination, Bezugsfertigkeit, Einzug und Stabilisierung.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Meilensteinvergütung; Fremdkosten transparent getrennt.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Pünktliche Abnahme, Deckungsbeitrag, dokumentierte Wiederholbarkeit.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3. Housing &amp; Arrival Office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Definierte laufende Koordination, Reporting und Standardaufgaben.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Monatliche Grundgebühr plus klar bepreiste Mengentreiber.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Wiederkehrende Nachfrage, stabile Delivery und Daten-/Prozessqualität.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4. Selektiver Objektpilot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Eigene Anmietung bzw. Betreiberrolle – nicht Teil des Basiscase.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Separate Objektrechnung und Finanzierung; keine Quersubventionierung durch Servicehonorare.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Ankerkunden, rechtliche Freigabe, 20%-Leerstands-Stresscase, sechs Monate Reserve.</w:t>
            </w:r>
          </w:p>
        </w:tc>
      </w:tr>
    </w:tbl>
    <w:p>
      <w:pPr>
        <w:spacing w:after="20"/>
      </w:pPr>
    </w:p>
    <w:p>
      <w:pPr>
        <w:pStyle w:val="Heading1"/>
      </w:pPr>
      <w:r>
        <w:t>3. Gründer- und Delivery-Fit</w:t>
      </w:r>
    </w:p>
    <w:p>
      <w:pPr>
        <w:spacing w:after="200"/>
      </w:pPr>
      <w:r>
        <w:rPr>
          <w:rFonts w:ascii="Aptos" w:hAnsi="Aptos"/>
          <w:b w:val="0"/>
          <w:i w:val="0"/>
          <w:color w:val="183C32"/>
          <w:sz w:val="21"/>
        </w:rPr>
        <w:t>Zaki Amawi verbindet Immobilienakquisition, B2B-Kundenarbeit, internationales Healthcare-Recruiting sowie praktische Projekt- und Wohnraumkoordination. Diese Kombination ist für die Startphase entscheidend: AMAVIO verkauft keine abstrakte Plattformidee, sondern verantwortet zunächst eine operativ anspruchsvolle Schnittstelle zwischen Arbeitgeber, Bewohnern, Eigentümern und Dienstleistern.</w:t>
      </w:r>
    </w:p>
    <w:p>
      <w:r>
        <w:br w:type="page"/>
      </w:r>
    </w:p>
    <w:p>
      <w:pPr>
        <w:pStyle w:val="Heading1"/>
      </w:pPr>
      <w:r>
        <w:t>4. Finanzielle Baseline und Kapitaldisziplin</w:t>
      </w:r>
    </w:p>
    <w:p>
      <w:pPr>
        <w:spacing w:after="200"/>
      </w:pPr>
      <w:r>
        <w:rPr>
          <w:rFonts w:ascii="Aptos" w:hAnsi="Aptos"/>
          <w:b w:val="0"/>
          <w:i w:val="0"/>
          <w:color w:val="183C32"/>
          <w:sz w:val="21"/>
        </w:rPr>
        <w:t>Die Finanzplanung bildet ausschließlich das kapitalarme Projekt- und Servicemodell. Sie enthält editierbare Annahmen, Vertragswerte, Zahlungsprofile, monatlichen Cashflow, P&amp;L, Szenarien und Modellchecks. Plan- und Live-Sicht sind getrennt.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2154"/>
        <w:gridCol w:w="2154"/>
        <w:gridCol w:w="2154"/>
      </w:tblGrid>
      <w:tr>
        <w:trPr>
          <w:tblHeader w:val="true"/>
        </w:trPr>
        <w:tc>
          <w:tcPr>
            <w:tcW w:type="dxa" w:w="3401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Kennzahl</w:t>
            </w:r>
          </w:p>
        </w:tc>
        <w:tc>
          <w:tcPr>
            <w:tcW w:type="dxa" w:w="2154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Planjahr 1</w:t>
            </w:r>
          </w:p>
        </w:tc>
        <w:tc>
          <w:tcPr>
            <w:tcW w:type="dxa" w:w="2154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Planjahr 2</w:t>
            </w:r>
          </w:p>
        </w:tc>
        <w:tc>
          <w:tcPr>
            <w:tcW w:type="dxa" w:w="2154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Planjahr 3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Netto-Serviceumsatz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93.500 EUR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269.000 EUR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442.000 EUR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EBITDA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34.950 EUR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120.320 EUR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169.300 EUR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Ergebnis vor Steuern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32.950 EUR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117.320 EUR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164.300 EUR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Planergebnis nach 30%-Steuerreserve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23.065 EUR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82.124 EUR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115.010 EUR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Direkte externe Kostenquote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10 %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12 %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15 %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Geplanter Geschäftsführerbezug brutto / Monat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2.500 EUR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3.500 EUR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7"/>
              </w:rPr>
              <w:t>5.000 EUR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tblHeader w:val="true"/>
        </w:trPr>
        <w:tc>
          <w:tcPr>
            <w:tcW w:type="dxa" w:w="2834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Kapital- und Risikopunkt</w:t>
            </w:r>
          </w:p>
        </w:tc>
        <w:tc>
          <w:tcPr>
            <w:tcW w:type="dxa" w:w="7029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Status / Aussage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Startkapitalbedarf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25.000 EUR: 10.200 EUR unmittelbar anlaufende Aufwendungen und Arbeitsmittel sowie 14.800 EUR Betriebsmittel- und Risikoreserve. Der Betrag ist kein Objekt-CAPEX-Budget. Der Launch-Preis bleibt davon getrennt bei 29.500 EUR netto zzgl. Fremdkosten.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Startfinanzierung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25.000 EUR Planrahmen inklusive 500 EUR Stammkapital. Der dokumentierte Mittelzufluss steht im Modell derzeit auf 0 EUR; Live-Freigabe bleibt deshalb „CONDITIONAL“. Die verbleibenden Mittel müssen als Eigenkapitalzuführung oder dokumentiertes Gesellschafterdarlehen nachgewiesen werden.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Downside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45 % der Base-Case-Umsätze; fixe Kosten bleiben konservativ bestehen. Das Ergebnis wäre negativ. Bei &lt;60 % des rollierenden Drei-Monats-Base-Case oder unter freier Mindestliquidität greift ein Ausgaben-, Personal- und Objektbindungsstopp.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Wachstumsannahme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6"/>
              </w:rPr>
              <w:t>269.000 EUR bzw. 442.000 EUR setzen bezahlte, delegierbare Delivery, Projektkoordination und dokumentierte Standardisierung voraus; ohne diese Belege wird der Umsatzpfad reduziert.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Kritische Fragen und belastbare Antworten</w:t>
      </w:r>
    </w:p>
    <w:p>
      <w:pPr>
        <w:spacing w:after="200"/>
      </w:pPr>
      <w:r>
        <w:rPr>
          <w:rFonts w:ascii="Aptos" w:hAnsi="Aptos"/>
          <w:b w:val="0"/>
          <w:i w:val="0"/>
          <w:color w:val="183C32"/>
          <w:sz w:val="21"/>
        </w:rPr>
        <w:t>Die Antworten sind bewusst präzise: Sie unterscheiden dokumentierte Fakten, Planannahmen und noch offene Freigaben. Das stärkt die Prüfbarkeit stärker als überzogene Zusagen.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tblHeader w:val="true"/>
        </w:trPr>
        <w:tc>
          <w:tcPr>
            <w:tcW w:type="dxa" w:w="2834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Frage</w:t>
            </w:r>
          </w:p>
        </w:tc>
        <w:tc>
          <w:tcPr>
            <w:tcW w:type="dxa" w:w="7029"/>
            <w:shd w:fill="245B4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245B4B"/>
              <w:left w:val="single" w:sz="4" w:color="245B4B"/>
              <w:bottom w:val="single" w:sz="6" w:color="245B4B"/>
              <w:right w:val="single" w:sz="4" w:color="245B4B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Antwort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Warum braucht ein Arbeitgeber AMAVIO statt eines Maklers oder einer internen HR-Rolle?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AMAVIO verbindet Bedarf, Beschaffung, Bezugsfertigkeit, Einzug und Stabilisierung in einem verantworteten Projektprozess. Die Leistung umfasst nicht nur die Wohnungssuche; sie entlastet mehrere interne und externe Schnittstellen. Rechtlich regulierte Vermittlung wird nur nach geklärter § 34c-Einordnung oder über passende Partner erbracht.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Wie ist Nachfrage belegt?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Der Businessplan belegt strukturelle Nachfrage nach Fachkräfte- und Beschäftigtenwohnen. Individuelle Umsätze werden jedoch erst nach qualifizierter Pipeline, Angebot, LOI oder Vertrag als belastbar behandelt. Der erste Marktbeweis ist ein bezahltes, abgenommenes Mandat – nicht eine allgemeine Marktzahl.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Wofür werden 25.000 EUR Startfinanzierung benötigt?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Für die professionelle Vertriebs-, Vertrags-, System- und Delivery-Basis sowie Liquiditätsreserve. Das Basismodell übernimmt keine Mieten, Kautionen, Möbel oder Umbaukosten für Kunden. Die Mittel dürfen nicht als Ersatz für eine separate Objektfinanzierung verwendet werden.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Ist die Finanzierung bereits gesichert?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Der Planrahmen beträgt 25.000 EUR. Laut Finanzmodell ist der dokumentierte Mittelzufluss noch nicht erfasst; der operative Modellstatus ist deshalb CONDITIONAL. Vor Verpflichtungen werden Banknachweis und rechtlich/steuerlich passende Einbringungsdokumente benötigt.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Warum ist die Umsatzplanung plausibel?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Planjahr 1 ist mit 93.500 EUR unter der rechnerischen Gründerkapazität von 117.000–126.000 EUR bei 130–140 fakturierbaren Tagen. Die operative Planung begrenzt J1 auf 102 fakturierbare Tage. Folgejahre sind kein Automatismus; sie sind an Kapazitäts- und Personalgates gebunden.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Was passiert, wenn Umsatz oder Einzahlungen verzögert sind?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Der Downside rechnet mit 45 % Umsatz bei unveränderten Fixkosten. Bei Unterschreitung der festgelegten Umsatz- oder Liquiditätsschwelle werden Neueinstellungen, Eigenentwicklung und Objektbindung gestoppt und innerhalb von zehn Arbeitstagen Umsatz, Kosten, Gründerbezug und Kapazität neu geplant.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Warum kein eigener Objektbestand im Start?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Eigene Anmietung oder Betrieb schaffen Miet-, Leerstands-, Kautions-, CAPEX- und Nutzungsrisiken. AMAVIO will diese Risiken erst bei Ankerkunden, zulässiger Nutzung, separater Objektkalkulation, positiver Stressrechnung und Reserve eingehen.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Ist ein Gründungszuschuss fest eingeplant?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7F9F8"/>
            <w:tcBorders>
              <w:top w:val="single" w:sz="3" w:color="B8C8C0"/>
              <w:left w:val="single" w:sz="3" w:color="B8C8C0"/>
              <w:bottom w:val="single" w:sz="3" w:color="B8C8C0"/>
              <w:right w:val="single" w:sz="3" w:color="B8C8C0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83C32"/>
                <w:sz w:val="15"/>
              </w:rPr>
              <w:t>Nein. Er wird weder als Umsatz noch als sicherer Mittelzufluss verbucht. Eine positive Tragfähigkeitsbescheinigung ist eine separate Voraussetzung bzw. Prüfung durch eine fachkundige Stelle; der Businessplan ersetzt sie nicht.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7"/>
            <w:shd w:fill="FCEEEB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val="single" w:sz="6" w:color="245B4B"/>
              <w:left w:val="nil"/>
              <w:bottom w:val="single" w:sz="6" w:color="245B4B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5B4B"/>
                <w:sz w:val="19"/>
              </w:rPr>
              <w:t xml:space="preserve">Entscheidungsbitte  </w:t>
            </w:r>
            <w:r>
              <w:rPr>
                <w:rFonts w:ascii="Aptos" w:hAnsi="Aptos"/>
                <w:b w:val="0"/>
                <w:i w:val="0"/>
                <w:color w:val="183C32"/>
                <w:sz w:val="19"/>
              </w:rPr>
              <w:t>Der nächste sinnvolle Schritt ist keine offene Kapital- oder Objektzusage, sondern die Prüfung der Startreife anhand des Datenraum-Index: Mittelzufluss dokumentieren, Rechts-/Datenschutz-/Vertragsrollen freigeben, qualifizierte Pipeline führen und ein erstes klar begrenztes Mandat zum Abschluss bringen.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C655F"/>
        <w:sz w:val="16"/>
      </w:rPr>
      <w:t xml:space="preserve">AMAVIO Holding UG (haftungsbeschränkt)  ·  vertraulich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/>
    <w:r>
      <w:rPr>
        <w:rFonts w:ascii="Aptos" w:hAnsi="Aptos"/>
        <w:b/>
        <w:i w:val="0"/>
        <w:color w:val="5C655F"/>
        <w:sz w:val="16"/>
      </w:rPr>
      <w:t>AMAVIO LIVING  /  EXECUTIVE SUMMARY &amp; Q&amp;A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Aptos" w:hAnsi="Aptos"/>
      <w:color w:val="183C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B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C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1" w:lineRule="auto"/>
    </w:pPr>
    <w:rPr>
      <w:rFonts w:ascii="Aptos" w:hAnsi="Aptos"/>
      <w:color w:val="183C32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