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4428" w:hRule="exact"/>
        </w:trPr>
        <w:tc>
          <w:tcPr>
            <w:tcW w:type="dxa" w:w="9836"/>
            <w:vAlign w:val="top"/>
            <w:shd w:fill="081527"/>
            <w:tcMar>
              <w:top w:w="430" w:type="dxa"/>
              <w:start w:w="460" w:type="dxa"/>
              <w:bottom w:w="360" w:type="dxa"/>
              <w:end w:w="46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after="760"/>
            </w:pPr>
            <w:r>
              <w:drawing>
                <wp:inline xmlns:a="http://schemas.openxmlformats.org/drawingml/2006/main" xmlns:pic="http://schemas.openxmlformats.org/drawingml/2006/picture">
                  <wp:extent cx="2788920" cy="8551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ight-on-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855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</w:pPr>
            <w:r>
              <w:rPr>
                <w:rFonts w:ascii="Arial" w:hAnsi="Arial"/>
                <w:b/>
                <w:color w:val="C6A35A"/>
                <w:sz w:val="16"/>
              </w:rPr>
              <w:t>BRAND SYSTEM · MASTER V2 · 2026</w:t>
            </w:r>
          </w:p>
          <w:p>
            <w:pPr>
              <w:spacing w:after="320"/>
              <w:pBdr>
                <w:start w:val="single" w:sz="18" w:space="10" w:color="C6A35A"/>
              </w:pBdr>
            </w:pPr>
            <w:r>
              <w:rPr>
                <w:rFonts w:ascii="Georgia" w:hAnsi="Georgia"/>
                <w:color w:val="F7F4EC"/>
                <w:sz w:val="62"/>
              </w:rPr>
              <w:t>Design.</w:t>
              <w:br/>
              <w:t>Sprache.</w:t>
              <w:br/>
              <w:t>System.</w:t>
            </w:r>
          </w:p>
          <w:p>
            <w:pPr>
              <w:spacing w:after="520"/>
            </w:pPr>
            <w:r>
              <w:rPr>
                <w:rFonts w:ascii="Arial" w:hAnsi="Arial"/>
                <w:color w:val="DDE4EA"/>
                <w:sz w:val="22"/>
              </w:rPr>
              <w:t>Ein konsistentes Marken- und Anwendungssystem für arbeitgeberseitiges Arrival Management.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082"/>
              <w:gridCol w:w="4082"/>
            </w:tblGrid>
            <w:tr>
              <w:tc>
                <w:tcPr>
                  <w:tcW w:type="dxa" w:w="4918"/>
                  <w:shd w:fill="0B1F3A"/>
                  <w:tcBorders>
                    <w:top w:val="single" w:sz="8" w:color="C6A35A"/>
                  </w:tcBorders>
                  <w:tcMar>
                    <w:top w:w="150" w:type="dxa"/>
                    <w:start w:w="0" w:type="dxa"/>
                    <w:bottom w:w="150" w:type="dxa"/>
                    <w:end w:w="18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C6A35A"/>
                      <w:sz w:val="13"/>
                    </w:rPr>
                    <w:t>MARKE</w:t>
                    <w:br/>
                  </w:r>
                  <w:r>
                    <w:rPr>
                      <w:rFonts w:ascii="Arial" w:hAnsi="Arial"/>
                      <w:b/>
                      <w:color w:val="F7F4EC"/>
                      <w:sz w:val="18"/>
                    </w:rPr>
                    <w:t>AMAVIO One</w:t>
                  </w:r>
                </w:p>
              </w:tc>
              <w:tc>
                <w:tcPr>
                  <w:tcW w:type="dxa" w:w="4918"/>
                  <w:shd w:fill="0B1F3A"/>
                  <w:tcBorders>
                    <w:top w:val="single" w:sz="8" w:color="C6A35A"/>
                  </w:tcBorders>
                  <w:tcMar>
                    <w:top w:w="150" w:type="dxa"/>
                    <w:start w:w="0" w:type="dxa"/>
                    <w:bottom w:w="150" w:type="dxa"/>
                    <w:end w:w="18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C6A35A"/>
                      <w:sz w:val="13"/>
                    </w:rPr>
                    <w:t>STATUS</w:t>
                    <w:br/>
                  </w:r>
                  <w:r>
                    <w:rPr>
                      <w:rFonts w:ascii="Arial" w:hAnsi="Arial"/>
                      <w:b/>
                      <w:color w:val="F7F4EC"/>
                      <w:sz w:val="18"/>
                    </w:rPr>
                    <w:t>Master-Arbeitsfassung</w:t>
                  </w:r>
                </w:p>
              </w:tc>
            </w:tr>
          </w:tbl>
          <w:p/>
          <w:p>
            <w:pPr>
              <w:spacing w:before="680" w:after="160"/>
            </w:pPr>
            <w:r>
              <w:rPr>
                <w:rFonts w:ascii="Arial" w:hAnsi="Arial"/>
                <w:b/>
                <w:color w:val="C6A35A"/>
                <w:sz w:val="17"/>
              </w:rPr>
              <w:t>ANKUNFT STEUERBAR MACHEN.</w:t>
            </w:r>
          </w:p>
          <w:p>
            <w:pPr>
              <w:spacing w:after="0"/>
            </w:pPr>
            <w:r>
              <w:rPr>
                <w:rFonts w:ascii="Arial" w:hAnsi="Arial"/>
                <w:color w:val="AEB9C6"/>
                <w:sz w:val="15"/>
              </w:rPr>
              <w:t>Intern · Stand 30.09.2026 · nicht extern freigegeben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7D6130"/>
          <w:sz w:val="15"/>
        </w:rPr>
        <w:t>SYSTEMÜBERSICHT</w:t>
      </w:r>
    </w:p>
    <w:p>
      <w:pPr>
        <w:pStyle w:val="Heading1"/>
      </w:pPr>
      <w:r>
        <w:t>Inhalt und Leselogik</w:t>
      </w:r>
    </w:p>
    <w:p>
      <w:pPr>
        <w:spacing w:after="260"/>
      </w:pPr>
      <w:r>
        <w:rPr>
          <w:color w:val="6F7680"/>
          <w:sz w:val="19"/>
        </w:rPr>
        <w:t>Vier Ebenen führen von der Markenidee bis zur kontrollierten Anwendung: Marke → Ausdruck → Anwendung →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734"/>
            <w:tcMar>
              <w:top w:w="0" w:type="dxa"/>
              <w:start w:w="0" w:type="dxa"/>
              <w:bottom w:w="0" w:type="dxa"/>
              <w:end w:w="1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ORIENTIERUNG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00  </w:t>
            </w:r>
            <w:r>
              <w:rPr>
                <w:rFonts w:ascii="Arial" w:hAnsi="Arial"/>
                <w:color w:val="0B1F3A"/>
                <w:sz w:val="17"/>
              </w:rPr>
              <w:t>Master-Arbeitsfassung 2026-09-30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MARKE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01  </w:t>
            </w:r>
            <w:r>
              <w:rPr>
                <w:rFonts w:ascii="Arial" w:hAnsi="Arial"/>
                <w:color w:val="0B1F3A"/>
                <w:sz w:val="17"/>
              </w:rPr>
              <w:t>Geltung und Autorität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02  </w:t>
            </w:r>
            <w:r>
              <w:rPr>
                <w:rFonts w:ascii="Arial" w:hAnsi="Arial"/>
                <w:color w:val="0B1F3A"/>
                <w:sz w:val="17"/>
              </w:rPr>
              <w:t>Markenkern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03  </w:t>
            </w:r>
            <w:r>
              <w:rPr>
                <w:rFonts w:ascii="Arial" w:hAnsi="Arial"/>
                <w:color w:val="0B1F3A"/>
                <w:sz w:val="17"/>
              </w:rPr>
              <w:t>Positionierung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04  </w:t>
            </w:r>
            <w:r>
              <w:rPr>
                <w:rFonts w:ascii="Arial" w:hAnsi="Arial"/>
                <w:color w:val="0B1F3A"/>
                <w:sz w:val="17"/>
              </w:rPr>
              <w:t>Markenarchitektur und Namenssystem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05  </w:t>
            </w:r>
            <w:r>
              <w:rPr>
                <w:rFonts w:ascii="Arial" w:hAnsi="Arial"/>
                <w:color w:val="0B1F3A"/>
                <w:sz w:val="17"/>
              </w:rPr>
              <w:t>Claim-System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AUSDRUCK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06  </w:t>
            </w:r>
            <w:r>
              <w:rPr>
                <w:rFonts w:ascii="Arial" w:hAnsi="Arial"/>
                <w:color w:val="0B1F3A"/>
                <w:sz w:val="17"/>
              </w:rPr>
              <w:t>Logo-System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07  </w:t>
            </w:r>
            <w:r>
              <w:rPr>
                <w:rFonts w:ascii="Arial" w:hAnsi="Arial"/>
                <w:color w:val="0B1F3A"/>
                <w:sz w:val="17"/>
              </w:rPr>
              <w:t>Farbpalette und Tokens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08  </w:t>
            </w:r>
            <w:r>
              <w:rPr>
                <w:rFonts w:ascii="Arial" w:hAnsi="Arial"/>
                <w:color w:val="0B1F3A"/>
                <w:sz w:val="17"/>
              </w:rPr>
              <w:t>Typografie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09  </w:t>
            </w:r>
            <w:r>
              <w:rPr>
                <w:rFonts w:ascii="Arial" w:hAnsi="Arial"/>
                <w:color w:val="0B1F3A"/>
                <w:sz w:val="17"/>
              </w:rPr>
              <w:t>Raster, Abstand und Form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10  </w:t>
            </w:r>
            <w:r>
              <w:rPr>
                <w:rFonts w:ascii="Arial" w:hAnsi="Arial"/>
                <w:color w:val="0B1F3A"/>
                <w:sz w:val="17"/>
              </w:rPr>
              <w:t>Ikonografie und Bewegung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11  </w:t>
            </w:r>
            <w:r>
              <w:rPr>
                <w:rFonts w:ascii="Arial" w:hAnsi="Arial"/>
                <w:color w:val="0B1F3A"/>
                <w:sz w:val="17"/>
              </w:rPr>
              <w:t>Zentrale visuelle Motive</w:t>
            </w:r>
          </w:p>
        </w:tc>
        <w:tc>
          <w:tcPr>
            <w:tcW w:type="dxa" w:w="4734"/>
            <w:tcMar>
              <w:top w:w="0" w:type="dxa"/>
              <w:start w:w="18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AUSDRUCK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12  </w:t>
            </w:r>
            <w:r>
              <w:rPr>
                <w:rFonts w:ascii="Arial" w:hAnsi="Arial"/>
                <w:color w:val="0B1F3A"/>
                <w:sz w:val="17"/>
              </w:rPr>
              <w:t>Bild-, Foto-, Illustrations- und Videostil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ANWENDUNG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13  </w:t>
            </w:r>
            <w:r>
              <w:rPr>
                <w:rFonts w:ascii="Arial" w:hAnsi="Arial"/>
                <w:color w:val="0B1F3A"/>
                <w:sz w:val="17"/>
              </w:rPr>
              <w:t>Sprache und Ton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14  </w:t>
            </w:r>
            <w:r>
              <w:rPr>
                <w:rFonts w:ascii="Arial" w:hAnsi="Arial"/>
                <w:color w:val="0B1F3A"/>
                <w:sz w:val="17"/>
              </w:rPr>
              <w:t>Do/Don’t-Beispiele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15  </w:t>
            </w:r>
            <w:r>
              <w:rPr>
                <w:rFonts w:ascii="Arial" w:hAnsi="Arial"/>
                <w:color w:val="0B1F3A"/>
                <w:sz w:val="17"/>
              </w:rPr>
              <w:t>Regeln je Artefakt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16  </w:t>
            </w:r>
            <w:r>
              <w:rPr>
                <w:rFonts w:ascii="Arial" w:hAnsi="Arial"/>
                <w:color w:val="0B1F3A"/>
                <w:sz w:val="17"/>
              </w:rPr>
              <w:t>Wiederverwendbare Komponenten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17  </w:t>
            </w:r>
            <w:r>
              <w:rPr>
                <w:rFonts w:ascii="Arial" w:hAnsi="Arial"/>
                <w:color w:val="0B1F3A"/>
                <w:sz w:val="17"/>
              </w:rPr>
              <w:t>Seiten- und Folienmuster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18  </w:t>
            </w:r>
            <w:r>
              <w:rPr>
                <w:rFonts w:ascii="Arial" w:hAnsi="Arial"/>
                <w:color w:val="0B1F3A"/>
                <w:sz w:val="17"/>
              </w:rPr>
              <w:t>Dateibenennung und Versionierung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7D6130"/>
                <w:sz w:val="13"/>
              </w:rPr>
              <w:t>GOVERNANCE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19  </w:t>
            </w:r>
            <w:r>
              <w:rPr>
                <w:rFonts w:ascii="Arial" w:hAnsi="Arial"/>
                <w:color w:val="0B1F3A"/>
                <w:sz w:val="17"/>
              </w:rPr>
              <w:t>Quellenführung und Release-Governance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20  </w:t>
            </w:r>
            <w:r>
              <w:rPr>
                <w:rFonts w:ascii="Arial" w:hAnsi="Arial"/>
                <w:color w:val="0B1F3A"/>
                <w:sz w:val="17"/>
              </w:rPr>
              <w:t>Founder Gates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21  </w:t>
            </w:r>
            <w:r>
              <w:rPr>
                <w:rFonts w:ascii="Arial" w:hAnsi="Arial"/>
                <w:color w:val="0B1F3A"/>
                <w:sz w:val="17"/>
              </w:rPr>
              <w:t>Brand-Compliance-Checkliste</w:t>
            </w:r>
          </w:p>
          <w:p>
            <w:pPr>
              <w:spacing w:after="0"/>
              <w:pBdr>
                <w:bottom w:val="single" w:sz="4" w:space="4" w:color="E2DCC9"/>
              </w:pBdr>
            </w:pPr>
            <w:r>
              <w:rPr>
                <w:rFonts w:ascii="Arial" w:hAnsi="Arial"/>
                <w:b/>
                <w:color w:val="7D6130"/>
                <w:sz w:val="16"/>
              </w:rPr>
              <w:t xml:space="preserve">22  </w:t>
            </w:r>
            <w:r>
              <w:rPr>
                <w:rFonts w:ascii="Arial" w:hAnsi="Arial"/>
                <w:color w:val="0B1F3A"/>
                <w:sz w:val="17"/>
              </w:rPr>
              <w:t>Quellenstand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ORIENTIERUNG</w:t>
            </w:r>
          </w:p>
          <w:p>
            <w:pPr>
              <w:pStyle w:val="Heading1"/>
              <w:spacing w:after="0"/>
            </w:pPr>
            <w:r>
              <w:t>Master-Arbeitsfassung 2026-09-30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00</w:t>
            </w:r>
          </w:p>
        </w:tc>
      </w:tr>
    </w:tbl>
    <w:p>
      <w:pPr>
        <w:spacing w:after="100"/>
      </w:pPr>
      <w:r>
        <w:rPr>
          <w:b/>
        </w:rPr>
        <w:t>Status:</w:t>
      </w:r>
      <w:r>
        <w:t xml:space="preserve"> intern verbindliche Arbeitsgrundlage; nicht extern freigegeben</w:t>
      </w:r>
    </w:p>
    <w:p>
      <w:pPr>
        <w:spacing w:after="100"/>
      </w:pPr>
      <w:r>
        <w:rPr>
          <w:b/>
        </w:rPr>
        <w:t>Marke:</w:t>
      </w:r>
      <w:r>
        <w:t xml:space="preserve"> AMAVIO One</w:t>
      </w:r>
    </w:p>
    <w:p>
      <w:pPr>
        <w:spacing w:after="100"/>
      </w:pPr>
      <w:r>
        <w:rPr>
          <w:b/>
        </w:rPr>
        <w:t>Zweck:</w:t>
      </w:r>
      <w:r>
        <w:t xml:space="preserve"> konsistentes Design-, Sprach- und Kommunikationssystem für Dokumente, Decks, Website, App, Social Media und E-Mail</w:t>
      </w:r>
    </w:p>
    <w:p>
      <w:pPr>
        <w:spacing w:after="100"/>
      </w:pPr>
      <w:r>
        <w:rPr>
          <w:b/>
        </w:rPr>
        <w:t>Quellenraum:</w:t>
      </w:r>
      <w:r>
        <w:t xml:space="preserve"> ausschließlich </w:t>
      </w:r>
      <w:r>
        <w:rPr>
          <w:rFonts w:ascii="Arial" w:hAnsi="Arial"/>
          <w:color w:val="7D6130"/>
          <w:sz w:val="19"/>
        </w:rPr>
        <w:t>/Users/zakia/Desktop/Businessplan AKTUELL</w:t>
      </w:r>
    </w:p>
    <w:p>
      <w:pPr>
        <w:spacing w:after="100"/>
      </w:pPr>
      <w:r>
        <w:rPr>
          <w:b/>
        </w:rPr>
        <w:t>Freigabegrenze:</w:t>
      </w:r>
      <w:r>
        <w:t xml:space="preserve"> Founder Gates in Kapitel 20; keine Veröffentlichung, kein Versand, Upload oder Deployment durch diese Arbeitsfassung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AMAVIO One macht die Strecke nach der Personalzusage als geführten Arbeitgeberprozess sichtbar, entscheidbar und lernfähig. Die Marke verbindet institutionelle Glaubwürdigkeit mit moderner Workforce-Arrival-Infrastruktur – ruhig, präzise und menschlich.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MARKENFUNDAMENT</w:t>
            </w:r>
          </w:p>
          <w:p>
            <w:pPr>
              <w:pStyle w:val="Heading1"/>
              <w:spacing w:after="0"/>
            </w:pPr>
            <w:r>
              <w:t>Geltung und Autorität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01</w:t>
            </w:r>
          </w:p>
        </w:tc>
      </w:tr>
    </w:tbl>
    <w:p>
      <w:pPr>
        <w:pStyle w:val="AMAVIOLead"/>
      </w:pPr>
      <w:r>
        <w:rPr>
          <w:sz w:val="22"/>
        </w:rPr>
        <w:t xml:space="preserve">Dieses Brandbook ist der </w:t>
      </w:r>
      <w:r>
        <w:rPr>
          <w:b/>
          <w:sz w:val="22"/>
        </w:rPr>
        <w:t>konsolidierte Markenmaster als Arbeitsfassung</w:t>
      </w:r>
      <w:r>
        <w:rPr>
          <w:sz w:val="22"/>
        </w:rPr>
        <w:t>. Es ersetzt keine gesellschaftsrechtliche, markenrechtliche, datenschutzrechtliche oder produktionstechnische Freigabe. Es führt jedoch die aktuell belastbaren Gestaltungs-, Naming-, Produkt- und Claim-Regeln in einem System zusammen.</w:t>
      </w:r>
    </w:p>
    <w:p>
      <w:r>
        <w:t>Bei Widersprüchen gilt: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01  </w:t>
      </w:r>
      <w:r>
        <w:t>aktuelle ausdrückliche Founder-/Nutzerentscheidung;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02  </w:t>
      </w:r>
      <w:r>
        <w:t>aktuelle Product Truth für Produktstatus, Rollen und Claims;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03  </w:t>
      </w:r>
      <w:r>
        <w:t>dieses Brandbook für Marke, Gestaltung, Sprache und Anwendung;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04  </w:t>
      </w:r>
      <w:r>
        <w:t>Commercial Source of Truth und Publishability Firewall für öffentliche Ableitungen;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05  </w:t>
      </w:r>
      <w:r>
        <w:t>aktueller tatsächlich genutzter Website-/App-Code als Implementierungsevidenz;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06  </w:t>
      </w:r>
      <w:r>
        <w:t>ältere Brand-, Website- und Präsentationsquellen nur als Herkunft oder Referenz.</w:t>
      </w:r>
    </w:p>
    <w:p>
      <w:r>
        <w:t xml:space="preserve">Die vollständige Quellenabwägung steht in </w:t>
      </w:r>
      <w:r w:rsidRPr="00000000">
        <w:rPr>
          <w:color w:val="7D6130"/>
          <w:u w:val="single"/>
        </w:rPr>
        <w:t>AMAVIO_One_Brand_Source_Matrix_20260930.md</w:t>
      </w:r>
      <w:r>
        <w:t>.</w:t>
      </w:r>
    </w:p>
    <w:p>
      <w:pPr>
        <w:pStyle w:val="Heading2"/>
        <w:pBdr>
          <w:top w:val="single" w:sz="5" w:space="8" w:color="E2DCC9"/>
        </w:pBdr>
      </w:pPr>
      <w:r>
        <w:t>1.1 Status dieses Masters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b/>
        </w:rPr>
        <w:t>Intern nutzbar:</w:t>
      </w:r>
      <w:r>
        <w:t xml:space="preserve"> für Entwurf, Produktion, QA und kontrollierte Ableitung.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b/>
        </w:rPr>
        <w:t>Nicht automatisch freigegeben:</w:t>
      </w:r>
      <w:r>
        <w:t xml:space="preserve"> für Website, Social Media, Kunden, Partner, Förderstellen oder Investoren.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b/>
        </w:rPr>
        <w:t>Kein Produktnachweis:</w:t>
      </w:r>
      <w:r>
        <w:t xml:space="preserve"> ein Brandbook beschreibt Regeln; es belegt keine produktive Plattform, App, KI, Kundennutzung oder Wirkung.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b/>
        </w:rPr>
        <w:t>Kein Logo-Redesign:</w:t>
      </w:r>
      <w:r>
        <w:t xml:space="preserve"> die vorhandenen AMAVIO-One-Logoassets bleiben unangetastet.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MARKENFUNDAMENT</w:t>
            </w:r>
          </w:p>
          <w:p>
            <w:pPr>
              <w:pStyle w:val="Heading1"/>
              <w:spacing w:after="0"/>
            </w:pPr>
            <w:r>
              <w:t>Markenkern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02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2.1 Markenidee</w:t>
      </w:r>
    </w:p>
    <w:p>
      <w:r>
        <w:t>AMAVIO One steht für die steuerbare Phase nach einer erfolgreichen Personalentscheidung: von Readiness und Rollenklärung über Wohn- und Ankunftskoordination bis zu Status, Freigaben, Partnerpfaden, Eskalation, Reporting und definierten Stabilisierungspunkten.</w:t>
      </w:r>
    </w:p>
    <w:p>
      <w:pPr>
        <w:pStyle w:val="Heading2"/>
        <w:pBdr>
          <w:top w:val="single" w:sz="5" w:space="8" w:color="E2DCC9"/>
        </w:pBdr>
      </w:pPr>
      <w:r>
        <w:t>2.2 Heutige Produktwahrheit</w:t>
      </w:r>
    </w:p>
    <w:p>
      <w:r>
        <w:t xml:space="preserve">AMAVIO One ist heute ein </w:t>
      </w:r>
      <w:r>
        <w:rPr>
          <w:b/>
        </w:rPr>
        <w:t>servicegeführtes, arbeitgeberseitiges Arrival Management</w:t>
      </w:r>
      <w:r>
        <w:t>. Arbeitgeber kaufen einen persönlich geführten, dokumentierten Prozess – keine Softwarelizenz, kein produktives App-Konto und keine automatisch integrierte Plattform.</w:t>
      </w:r>
    </w:p>
    <w:p>
      <w:r>
        <w:t>Das Arrival Control Center und die AMAVIO One App sind getrennte digitale Produktbausteine: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Das </w:t>
      </w:r>
      <w:r>
        <w:rPr>
          <w:b/>
        </w:rPr>
        <w:t>Arrival Control Center</w:t>
      </w:r>
      <w:r>
        <w:t xml:space="preserve"> ist die Arbeitgeber-/AMAVIO-Steuerung. Eine lokale Konzeptdemo mit synthetischen Daten ist vorhanden; produktiver Kundendatenbetrieb ist nicht belegt.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Die </w:t>
      </w:r>
      <w:r>
        <w:rPr>
          <w:b/>
        </w:rPr>
        <w:t>AMAVIO One App</w:t>
      </w:r>
      <w:r>
        <w:t xml:space="preserve"> ist die separate mobile-first Oberfläche für Fachkraft, Wohnanbieter und lokalen Partner. Der aktuelle Stand ist ein lokaler Funktionsprototyp mit synthetischen Daten, ohne produktives Backend, produktive Authentifizierung oder ACC-Anbindung.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b/>
        </w:rPr>
        <w:t>KI</w:t>
      </w:r>
      <w:r>
        <w:t xml:space="preserve"> ist derzeit Produkt- und Innovationshypothese. Aussagen über vorhandenes KI-Matching, automatisierte Entscheidungen oder KI-Bewertungen sind unzulässig.</w:t>
      </w:r>
    </w:p>
    <w:p>
      <w:pPr>
        <w:pStyle w:val="Heading2"/>
        <w:pBdr>
          <w:top w:val="single" w:sz="5" w:space="8" w:color="E2DCC9"/>
        </w:pBdr>
      </w:pPr>
      <w:r>
        <w:t>2.3 Markenversprechen</w:t>
      </w:r>
    </w:p>
    <w:p>
      <w:r>
        <w:t xml:space="preserve">AMAVIO One verspricht keine garantierten Ergebnisse. Die Marke steht für eine bessere </w:t>
      </w:r>
      <w:r>
        <w:rPr>
          <w:b/>
        </w:rPr>
        <w:t>Prozessqualität</w:t>
      </w:r>
      <w:r>
        <w:t>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Zuständigkeiten werden sichtbar.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Offene Punkte werden strukturiert.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Entscheidungen und Fremdkosten werden nachvollziehbar.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Partnerpfade werden qualifiziert und koordiniert.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Risiken und nächste Schritte werden früher erkennbar.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Erkenntnisse können in den nächsten Start übertragen werden.</w:t>
      </w:r>
    </w:p>
    <w:p>
      <w:pPr>
        <w:pStyle w:val="Heading2"/>
        <w:pBdr>
          <w:top w:val="single" w:sz="5" w:space="8" w:color="E2DCC9"/>
        </w:pBdr>
      </w:pPr>
      <w:r>
        <w:t>2.4 Persönlichkeit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Dimension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AMAVIO One ist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AMAVIO One ist nicht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Haltung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ruhig, verantwortungsvoll, entscheidungsnah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laut, alarmistisch, euphorisch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Kompetenz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operativ, strukturiert, quellenbewusst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abstrakt, buzzword-getrieben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Menschlichkeit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respektvoll, klar, auf Augenhöhe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paternalistisch, betreuend, defizitorientiert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Technologie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modern, kontrolliert, reifegradklar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futuristisch überhöht, automatisierungsverliebt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Premium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präzise, reduziert, gut komponiert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dekorativ, luxuriös um des Effekts willen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MARKENFUNDAMENT</w:t>
            </w:r>
          </w:p>
          <w:p>
            <w:pPr>
              <w:pStyle w:val="Heading1"/>
              <w:spacing w:after="0"/>
            </w:pPr>
            <w:r>
              <w:t>Positionierung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03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3.1 Verbindliche Positionierungsformel</w:t>
      </w:r>
    </w:p>
    <w:p>
      <w:r>
        <w:rPr>
          <w:b/>
        </w:rPr>
        <w:t>AMAVIO One ist ein servicegeführtes Arrival Management für Arbeitgeber nach der Personalzusage. Es verbindet operative Koordination, Status- und Freigabelogik, Partnerpfade und definierte Stabilisierungspunkte; digitale Produktbausteine werden reifegradklar entwickelt und demonstriert.</w:t>
      </w:r>
    </w:p>
    <w:p>
      <w:pPr>
        <w:pStyle w:val="Heading2"/>
        <w:pBdr>
          <w:top w:val="single" w:sz="5" w:space="8" w:color="E2DCC9"/>
        </w:pBdr>
      </w:pPr>
      <w:r>
        <w:t>3.2 Kategorienutzung</w:t>
      </w:r>
    </w:p>
    <w:p>
      <w:r>
        <w:t>Bevorzugt: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arbeitgeberseitiges Arrival Management;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Workforce-Arrival-Infrastruktur;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geführter Arbeitgeberprozess nach der Personalzusage;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Managed Arrival Service;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Arrival Control als Prozess- und Steuerungslogik.</w:t>
      </w:r>
    </w:p>
    <w:p>
      <w:r>
        <w:t>Nur mit Kontext: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HR-Tech: als Entwicklungs- und Infrastrukturperspektive, nicht als Beleg fertiger Software;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Plattform: nur als Zielbild beziehungsweise geplante Architektur;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KI-gestützt: nur für klar bezeichnete geplante oder hypothesengeleitete Funktionen;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Integration: als Prozess- und Standortkontext, nicht als garantierter sozialer Zustand.</w:t>
      </w:r>
    </w:p>
    <w:p>
      <w:r>
        <w:t>Nicht als Hauptkategorie: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Relocation-Agentur;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Personalvermittlung oder Recruiting-Anbieter;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Wohnungsvermittlung oder Makler;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Alltagshilfe oder Betreuungsdienst;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fertige SaaS-Plattform;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KI-Matching-Plattform.</w:t>
      </w:r>
    </w:p>
    <w:p>
      <w:pPr>
        <w:pStyle w:val="Heading2"/>
        <w:pBdr>
          <w:top w:val="single" w:sz="5" w:space="8" w:color="E2DCC9"/>
        </w:pBdr>
      </w:pPr>
      <w:r>
        <w:t>3.3 Zielgruppen</w:t>
      </w:r>
    </w:p>
    <w:p>
      <w:r>
        <w:t>Primär: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Arbeitgeber, HR, Standortleitung, Geschäftsführung und Budgetverantwortliche;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Pflege- und Gesundheitseinrichtungen, soziale Träger, Kliniken;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qualifizierte Arbeitgeber aus Mittelstand, Hospitality, Industrie und Infrastruktur;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Institutionen und Partner im Fachkräfte-, Standort- und Integrationsumfeld.</w:t>
      </w:r>
    </w:p>
    <w:p>
      <w:r>
        <w:t>Sekundär und rollenbezogen: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internationale und überregionale Fachkräfte;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Wohnanbieter;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lokale Partner;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Förder-, Bank-, Jury- und Investorenadressaten, jeweils mit eigener Informationslogik.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MARKENFUNDAMENT</w:t>
            </w:r>
          </w:p>
          <w:p>
            <w:pPr>
              <w:pStyle w:val="Heading1"/>
              <w:spacing w:after="0"/>
            </w:pPr>
            <w:r>
              <w:t>Markenarchitektur und Namenssystem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04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4.1 Dachmarke</w:t>
      </w:r>
    </w:p>
    <w:p>
      <w:r>
        <w:rPr>
          <w:b/>
        </w:rPr>
        <w:t>AMAVIO One</w:t>
      </w:r>
      <w:r>
        <w:t xml:space="preserve"> ist die Dach-, Absender- und Produktfamilienmarke.</w:t>
      </w:r>
    </w:p>
    <w:p>
      <w:r>
        <w:t>Schreibweise: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korrekt: </w:t>
      </w:r>
      <w:r>
        <w:rPr>
          <w:rFonts w:ascii="Arial" w:hAnsi="Arial"/>
          <w:color w:val="7D6130"/>
          <w:sz w:val="19"/>
        </w:rPr>
        <w:t>AMAVIO One</w:t>
      </w:r>
      <w:r>
        <w:t>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im Fließtext niemals </w:t>
      </w:r>
      <w:r>
        <w:rPr>
          <w:rFonts w:ascii="Arial" w:hAnsi="Arial"/>
          <w:color w:val="7D6130"/>
          <w:sz w:val="19"/>
        </w:rPr>
        <w:t>Amavio one</w:t>
      </w:r>
      <w:r>
        <w:t xml:space="preserve">, </w:t>
      </w:r>
      <w:r>
        <w:rPr>
          <w:rFonts w:ascii="Arial" w:hAnsi="Arial"/>
          <w:color w:val="7D6130"/>
          <w:sz w:val="19"/>
        </w:rPr>
        <w:t>AMAVIO ONE</w:t>
      </w:r>
      <w:r>
        <w:t xml:space="preserve"> als Dauerform oder </w:t>
      </w:r>
      <w:r>
        <w:rPr>
          <w:rFonts w:ascii="Arial" w:hAnsi="Arial"/>
          <w:color w:val="7D6130"/>
          <w:sz w:val="19"/>
        </w:rPr>
        <w:t>AMAVIO-One</w:t>
      </w:r>
      <w:r>
        <w:t>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AMAVIO ONE</w:t>
      </w:r>
      <w:r>
        <w:t xml:space="preserve"> ist nur als bewusst gesetzte typografische Wortmarken-/Coverform zulässig;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Possessivkonstruktionen vermeiden; besser </w:t>
      </w:r>
      <w:r>
        <w:rPr>
          <w:rFonts w:ascii="Arial" w:hAnsi="Arial"/>
          <w:color w:val="7D6130"/>
          <w:sz w:val="19"/>
        </w:rPr>
        <w:t>das Arrival Control Center von AMAVIO One</w:t>
      </w:r>
      <w:r>
        <w:t>.</w:t>
      </w:r>
    </w:p>
    <w:p>
      <w:pPr>
        <w:pStyle w:val="Heading2"/>
        <w:pBdr>
          <w:top w:val="single" w:sz="5" w:space="8" w:color="E2DCC9"/>
        </w:pBdr>
      </w:pPr>
      <w:r>
        <w:t>4.2 Verbindliche Ebenen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Ebene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Bezeichnung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Status und Gebrauch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Dachmarke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AMAVIO One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immer Absender und führender Name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Heutiger Leistungskern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Managed Arrival Service</w:t>
            </w:r>
            <w:r>
              <w:rPr>
                <w:color w:val="222222"/>
                <w:sz w:val="16"/>
              </w:rPr>
              <w:t xml:space="preserve"> / </w:t>
            </w:r>
            <w:r>
              <w:rPr>
                <w:b/>
                <w:color w:val="222222"/>
                <w:sz w:val="16"/>
              </w:rPr>
              <w:t>Arrival Control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persönlich geführter Arbeitgeberprozess; heutige Leistung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Arbeitgeber-/Operations-Oberfläche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Arrival Control Center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Produktname; Demo-/MVP-/Produktivstatus immer nennen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Externe Rollenoberfläche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AMAVIO One App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Fachkraft, Wohnanbieter, lokaler Partner; strikt getrennt vom ACC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Wohn-/Unterkunftsbereich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AMAVIO Living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reservierter möglicher Modulname; Founder Gate, bis dahin beschreibend formulieren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selektiver Zusatzscope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Executive Living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qualifiziert und mit Status; Founder Gate für öffentliche Führung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Partner-/Stadtlogik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222222"/>
                <w:sz w:val="16"/>
              </w:rPr>
              <w:t>Partner Layer</w:t>
            </w:r>
            <w:r>
              <w:rPr>
                <w:color w:val="222222"/>
                <w:sz w:val="16"/>
              </w:rPr>
              <w:t xml:space="preserve"> / </w:t>
            </w:r>
            <w:r>
              <w:rPr>
                <w:b/>
                <w:color w:val="222222"/>
                <w:sz w:val="16"/>
              </w:rPr>
              <w:t>Partner- und Community-Layer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Architekturbegriff; kein Beleg eines aktiven großen Netzwerks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4.3 Rollenbegriffe</w:t>
      </w:r>
    </w:p>
    <w:p>
      <w:r>
        <w:t>Deutsch: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Arbeitgeber;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Fachkraft;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Wohnanbieter;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lokaler Partner;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AMAVIO Operations;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Standortleitung;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Freigabe-/Budgetrolle.</w:t>
      </w:r>
    </w:p>
    <w:p>
      <w:r>
        <w:t>Englisch: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employer;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professional oder international professional;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housing provider;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local partner;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AMAVIO Operations;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site lead;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approval or budget owner.</w:t>
      </w:r>
    </w:p>
    <w:p>
      <w:r>
        <w:rPr>
          <w:rFonts w:ascii="Arial" w:hAnsi="Arial"/>
          <w:color w:val="7D6130"/>
          <w:sz w:val="19"/>
        </w:rPr>
        <w:t>Candidate</w:t>
      </w:r>
      <w:r>
        <w:t xml:space="preserve"> beziehungsweise </w:t>
      </w:r>
      <w:r>
        <w:rPr>
          <w:rFonts w:ascii="Arial" w:hAnsi="Arial"/>
          <w:color w:val="7D6130"/>
          <w:sz w:val="19"/>
        </w:rPr>
        <w:t>Kandidat/in</w:t>
      </w:r>
      <w:r>
        <w:t xml:space="preserve"> nur in eindeutigem Recruiting-Kontext verwenden. Nach Personalzusage ist </w:t>
      </w:r>
      <w:r>
        <w:rPr>
          <w:rFonts w:ascii="Arial" w:hAnsi="Arial"/>
          <w:color w:val="7D6130"/>
          <w:sz w:val="19"/>
        </w:rPr>
        <w:t>Fachkraft</w:t>
      </w:r>
      <w:r>
        <w:t xml:space="preserve"> beziehungsweise </w:t>
      </w:r>
      <w:r>
        <w:rPr>
          <w:rFonts w:ascii="Arial" w:hAnsi="Arial"/>
          <w:color w:val="7D6130"/>
          <w:sz w:val="19"/>
        </w:rPr>
        <w:t>professional</w:t>
      </w:r>
      <w:r>
        <w:t xml:space="preserve"> vorzuziehen.</w:t>
      </w:r>
    </w:p>
    <w:p>
      <w:pPr>
        <w:pStyle w:val="Heading2"/>
        <w:pBdr>
          <w:top w:val="single" w:sz="5" w:space="8" w:color="E2DCC9"/>
        </w:pBdr>
      </w:pPr>
      <w:r>
        <w:t>4.4 Begriffe mit Pflichtqualifizierung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Begriff</w:t>
            </w:r>
          </w:p>
        </w:tc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Pflichtzusatz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Demo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lokal/interaktiv, synthetische Daten, keine produktive Anbindung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App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lokaler Funktionsprototyp oder geplant/MVP; kein produktives Konto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Plattform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Zielbild, geplant oder in Entwicklung; kein produktiver Plattformbetrieb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KI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geplante/unterstützende Hypothese, menschliche Verantwortung, keine automatische Personenentscheidung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Netzwerk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Partnerkategorien, qualifizierte Pfade oder nachweisbare Beziehung; keine Reichweitenbehauptung ohne Beleg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Pilot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Scope, Zeitraum, Leistung und Nichtzusage nennen; nicht mit Softwareproduktivität gleichsetzen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MARKENFUNDAMENT</w:t>
            </w:r>
          </w:p>
          <w:p>
            <w:pPr>
              <w:pStyle w:val="Heading1"/>
              <w:spacing w:after="0"/>
            </w:pPr>
            <w:r>
              <w:t>Claim-System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05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5.1 Arbeitsclaim</w:t>
      </w:r>
    </w:p>
    <w:p>
      <w:r>
        <w:rPr>
          <w:b/>
        </w:rPr>
        <w:t>Ankunft steuerbar machen.</w:t>
      </w:r>
    </w:p>
    <w:p>
      <w:r>
        <w:t>Dieser Satz ist die empfohlene Arbeitslinie für interne Gestaltung. Seine dauerhafte öffentliche Führung ist ein Founder Gate.</w:t>
      </w:r>
    </w:p>
    <w:p>
      <w:pPr>
        <w:pStyle w:val="Heading2"/>
        <w:pBdr>
          <w:top w:val="single" w:sz="5" w:space="8" w:color="E2DCC9"/>
        </w:pBdr>
      </w:pPr>
      <w:r>
        <w:t>5.2 Unterstützende Linien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Die Arbeitgeberfunktion nach der Personalzusage.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Von Readiness bis Stabilisierung: ein geführter Kontrolllauf.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Status, Freigaben und nächste Schritte für die Phase nach dem Recruiting.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Damit offene Punkte vor dem Start sichtbar werden.</w:t>
      </w:r>
    </w:p>
    <w:p>
      <w:pPr>
        <w:pStyle w:val="Heading2"/>
        <w:pBdr>
          <w:top w:val="single" w:sz="5" w:space="8" w:color="E2DCC9"/>
        </w:pBdr>
      </w:pPr>
      <w:r>
        <w:t>5.3 Kontextclaims mit Vorsicht</w:t>
      </w:r>
    </w:p>
    <w:p>
      <w:r>
        <w:rPr>
          <w:rFonts w:ascii="Arial" w:hAnsi="Arial"/>
          <w:color w:val="7D6130"/>
          <w:sz w:val="19"/>
        </w:rPr>
        <w:t>Ankommen organisieren. Fachkräfte halten.</w:t>
      </w:r>
      <w:r>
        <w:t xml:space="preserve"> stammt aus der früheren Markenlinie. Der zweite Satzteil kann eine garantierte Retentionswirkung nahelegen. Daher nur als historische Quelle oder nach erneuter Founder-/Evidence-Freigabe verwenden.</w:t>
      </w:r>
    </w:p>
    <w:p>
      <w:r>
        <w:rPr>
          <w:rFonts w:ascii="Arial" w:hAnsi="Arial"/>
          <w:color w:val="7D6130"/>
          <w:sz w:val="19"/>
        </w:rPr>
        <w:t>Damit Fachkräfte nicht nur ankommen, sondern bleiben.</w:t>
      </w:r>
      <w:r>
        <w:t xml:space="preserve"> ist emotional stark, aber als Ergebnisversprechen riskant. Besser: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Damit Arbeitgeber die Voraussetzungen für stabile Ankunft und Bindung systematisch bearbeiten können.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5.4 Unzulässige Claimtypen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garantiert Wohnraum, Einreise, Anerkennung, Einsatzfähigkeit oder Bindung;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senkt nachweislich Fluktuation oder Kosten, wenn keine belastbare Messung vorliegt;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automatisiert Matching, Entscheidungen oder Bewertung;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aktive Plattform, App-Konten, Community oder Partnerreichweite ohne Nachweis;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alles aus einer Hand</w:t>
      </w:r>
      <w:r>
        <w:t>, wenn externe Fach- oder Drittleistungen beteiligt sind;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Marktführer-, einzigartig-, revolutionär- oder vollständig-Aussagen ohne Evidenz.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Logo-System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06</w:t>
            </w:r>
          </w:p>
        </w:tc>
      </w:tr>
    </w:tbl>
    <w:p>
      <w:pPr>
        <w:pStyle w:val="Heading2"/>
      </w:pPr>
      <w:r>
        <w:t>Aktuelle AMAVIO-One-Logoassets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fill="F2EEE4"/>
            <w:tcMar>
              <w:top w:w="150" w:type="dxa"/>
              <w:start w:w="150" w:type="dxa"/>
              <w:bottom w:w="120" w:type="dxa"/>
              <w:end w:w="150" w:type="dxa"/>
            </w:tcMar>
            <w:tcBorders>
              <w:top w:val="single" w:sz="6" w:color="C6A35A"/>
              <w:bottom w:val="nil"/>
              <w:start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14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prim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14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7D6130"/>
                <w:sz w:val="15"/>
              </w:rPr>
              <w:t>PRIMARY · helle Fläche</w:t>
            </w:r>
          </w:p>
        </w:tc>
        <w:tc>
          <w:tcPr>
            <w:tcW w:type="dxa" w:w="4932"/>
            <w:shd w:fill="FAF8F2"/>
            <w:tcMar>
              <w:top w:w="150" w:type="dxa"/>
              <w:start w:w="150" w:type="dxa"/>
              <w:bottom w:w="120" w:type="dxa"/>
              <w:end w:w="150" w:type="dxa"/>
            </w:tcMar>
            <w:tcBorders>
              <w:top w:val="single" w:sz="6" w:color="C6A35A"/>
              <w:bottom w:val="nil"/>
              <w:start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149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ight-on-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14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7D6130"/>
                <w:sz w:val="15"/>
              </w:rPr>
              <w:t>LIGHT · dunkle Fläche</w:t>
            </w:r>
          </w:p>
        </w:tc>
      </w:tr>
      <w:tr>
        <w:tc>
          <w:tcPr>
            <w:tcW w:type="dxa" w:w="4932"/>
            <w:shd w:fill="FAF8F2"/>
            <w:tcMar>
              <w:top w:w="150" w:type="dxa"/>
              <w:start w:w="150" w:type="dxa"/>
              <w:bottom w:w="120" w:type="dxa"/>
              <w:end w:w="150" w:type="dxa"/>
            </w:tcMar>
            <w:tcBorders>
              <w:top w:val="single" w:sz="6" w:color="C6A35A"/>
              <w:bottom w:val="nil"/>
              <w:start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149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14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7D6130"/>
                <w:sz w:val="15"/>
              </w:rPr>
              <w:t>DARK · eingebettete Fläche</w:t>
            </w:r>
          </w:p>
        </w:tc>
        <w:tc>
          <w:tcPr>
            <w:tcW w:type="dxa" w:w="4932"/>
            <w:shd w:fill="F2EEE4"/>
            <w:tcMar>
              <w:top w:w="150" w:type="dxa"/>
              <w:start w:w="150" w:type="dxa"/>
              <w:bottom w:w="120" w:type="dxa"/>
              <w:end w:w="150" w:type="dxa"/>
            </w:tcMar>
            <w:tcBorders>
              <w:top w:val="single" w:sz="6" w:color="C6A35A"/>
              <w:bottom w:val="nil"/>
              <w:start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9706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970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7D6130"/>
                <w:sz w:val="15"/>
              </w:rPr>
              <w:t>SIGNET · kleiner Kontext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6.1 Autoritative Assets</w:t>
      </w:r>
    </w:p>
    <w:p>
      <w:r>
        <w:t>Die vorhandenen Dateien werden unverändert verwendet: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08_Website/amavio-living-site/assets/brand/amavio-logo-primary.svg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08_Website/amavio-living-site/assets/brand/amavio-logo-light.svg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08_Website/amavio-living-site/assets/brand/amavio-logo-dark.svg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08_Website/amavio-living-site/assets/brand/amavio-signet.svg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08_Website/amavio-living-site/assets/brand/amavio-favicon.svg</w:t>
      </w:r>
    </w:p>
    <w:p>
      <w:r>
        <w:t>Die App-Varianten von Primary, Dark und Signet sind hash-identisch mit den Website-Dateien. Es wird keine neue Marke gezeichnet und kein Logo aus Schrift nachgebaut.</w:t>
      </w:r>
    </w:p>
    <w:p>
      <w:pPr>
        <w:pStyle w:val="Heading2"/>
        <w:pBdr>
          <w:top w:val="single" w:sz="5" w:space="8" w:color="E2DCC9"/>
        </w:pBdr>
      </w:pPr>
      <w:r>
        <w:t>6.2 Varianten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Variante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Einsatz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Hintergrund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Primary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Dokumente, helle Website-/App-Flächen, Decks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Cream, Weiß oder sehr helle ruhige Fläche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Light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dunkle Flächen und kontrollierte Fotohintergründe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Brand Navy/Stage Navy; ausreichend ruhige Bildzone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Dark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fertiges rechteckiges Lockup mit eingebetteter Navy-Fläche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als Ganzes einsetzen; nicht auf eine zweite Hintergrundbox legen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Signet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Avatar, App-/Portal-Icon, kleine wiederkehrende Markierung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wenn AMAVIO-One-Kontext bereits klar ist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Favicon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Browser, 32–64 px digitale Kleinform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als Favicon/Icon, nicht als Dokumenthauptlogo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6.3 Schutzraum</w:t>
      </w:r>
    </w:p>
    <w:p>
      <w:r>
        <w:t>Bis eine geometrisch vermessene Reinzeichnung vorliegt, gilt konservativ: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Wortmarke: rundum mindestens </w:t>
      </w:r>
      <w:r>
        <w:rPr>
          <w:b/>
        </w:rPr>
        <w:t>25 % der sichtbaren Logohöhe</w:t>
      </w:r>
      <w:r>
        <w:t xml:space="preserve"> frei halten.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Signet/Favicon: rundum mindestens </w:t>
      </w:r>
      <w:r>
        <w:rPr>
          <w:b/>
        </w:rPr>
        <w:t>20 % der Kantenlänge</w:t>
      </w:r>
      <w:r>
        <w:t xml:space="preserve"> frei halten.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 Text, keine Linie, kein Bildfokus und kein Seitenrand innerhalb des Schutzraums.</w:t>
      </w:r>
    </w:p>
    <w:p>
      <w:pPr>
        <w:pStyle w:val="Heading2"/>
        <w:pBdr>
          <w:top w:val="single" w:sz="5" w:space="8" w:color="E2DCC9"/>
        </w:pBdr>
      </w:pPr>
      <w:r>
        <w:t>6.4 Mindestgrößen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Anwendung</w:t>
            </w:r>
          </w:p>
        </w:tc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Mindestgröße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Primär-/Light-Logo digital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180 px Breite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Primärlogo Print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42 mm Breite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Signet digital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32 px; bevorzugt ab 40 px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Signet Print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10 mm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Favicon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32 × 32 px, bevorzugt 48 oder 64 px</w:t>
            </w:r>
          </w:p>
        </w:tc>
      </w:tr>
    </w:tbl>
    <w:p>
      <w:pPr>
        <w:spacing w:after="20"/>
      </w:pPr>
    </w:p>
    <w:p>
      <w:r>
        <w:t xml:space="preserve">Kleinere Anwendungen müssen visuell geprüft werden. Der </w:t>
      </w:r>
      <w:r>
        <w:rPr>
          <w:rFonts w:ascii="Arial" w:hAnsi="Arial"/>
          <w:color w:val="7D6130"/>
          <w:sz w:val="19"/>
        </w:rPr>
        <w:t>One</w:t>
      </w:r>
      <w:r>
        <w:t>-Zusatz und die Arrival-Line dürfen nicht verschwimmen.</w:t>
      </w:r>
    </w:p>
    <w:p>
      <w:pPr>
        <w:pStyle w:val="Heading2"/>
        <w:pBdr>
          <w:top w:val="single" w:sz="5" w:space="8" w:color="E2DCC9"/>
        </w:pBdr>
      </w:pPr>
      <w:r>
        <w:t>6.5 Verbotene Anwendungen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nicht stauchen, strecken, drehen oder perspektivisch verzerren;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Farben nicht frei austauschen;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Kontur, Schatten, Glow oder Verlauf hinzufügen;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Ring, Punkt, </w:t>
      </w:r>
      <w:r>
        <w:rPr>
          <w:rFonts w:ascii="Arial" w:hAnsi="Arial"/>
          <w:color w:val="7D6130"/>
          <w:sz w:val="19"/>
        </w:rPr>
        <w:t>One</w:t>
      </w:r>
      <w:r>
        <w:t xml:space="preserve"> oder Arrival-Line nicht entfernen oder neu positionieren;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Signet nicht als Hauptlogo in unbekanntem Kontext verwenden;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Logo nicht auf unruhige Gesichter, Texturen oder starke Kontrastkanten legen;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Haus-, Handschlag-, Pflege-, Recruiting- oder Netzwerkpunkt-Symbole ergänzen;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typografische Eigenkonstruktion als Ersatz für die vorhandene SVG-Datei.</w:t>
      </w:r>
    </w:p>
    <w:p>
      <w:pPr>
        <w:pStyle w:val="Heading2"/>
        <w:pBdr>
          <w:top w:val="single" w:sz="5" w:space="8" w:color="E2DCC9"/>
        </w:pBdr>
      </w:pPr>
      <w:r>
        <w:t>6.6 Produktionshinweis</w:t>
      </w:r>
    </w:p>
    <w:p>
      <w:r>
        <w:t xml:space="preserve">Die SVGs enthalten </w:t>
      </w:r>
      <w:r>
        <w:rPr>
          <w:rFonts w:ascii="Arial" w:hAnsi="Arial"/>
          <w:color w:val="7D6130"/>
          <w:sz w:val="19"/>
        </w:rPr>
        <w:t>&lt;text&gt;</w:t>
      </w:r>
      <w:r>
        <w:t>-Elemente und referenzieren Fraunces/Georgia. Für Druckdienstleister, fremde Systeme oder markenrechtliche Finalisierung ist eine in Pfade umgewandelte Reinzeichnung sinnvoll. Das ist ein Founder-/Production-Gate und darf nicht stillschweigend durch eine neue Zeichnung ersetzt werden.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Farbpalette und Tokens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07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7.1 Primärpalette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Token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Rolle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HEX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RGB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orientierendes CMYK*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Brand Navy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Hauptmarke, Logo, dunkle Flächen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0B1F3A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#0B1F3A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11, 31, 58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81, 47, 0, 77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Stage Navy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filmische/dunkle Bühne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081527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#081527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8, 21, 39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79, 46, 0, 85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App Navy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App-Fokus, UI-Tiefe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10253D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#10253D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16, 37, 61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74, 39, 0, 76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Cream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ruhiger Hauptgrund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#F7F4EC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247, 244, 236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0, 1, 4, 3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White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klare Fläche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#FFFFFF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255, 255, 255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0, 0, 0, 0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Ink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Fließtext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222222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#222222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34, 34, 34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0, 0, 0, 87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Neutral Gray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Sekundärtext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6F7680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#6F7680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111, 118, 128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13, 8, 0, 50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Gold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Arrival-Line, Premiumakzent auf Navy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C6A35A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#C6A35A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198, 163, 90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0, 18, 55, 22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Gold Deep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großer/dekorativer Akzent auf hell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9C7D3F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#9C7D3F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156, 125, 63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0, 20, 60, 39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Bronze Text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kleine Akzenttexte auf hell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7D6130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#7D6130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125, 97, 48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0, 22, 62, 51</w:t>
            </w:r>
          </w:p>
        </w:tc>
      </w:tr>
    </w:tbl>
    <w:p>
      <w:pPr>
        <w:spacing w:after="20"/>
      </w:pPr>
    </w:p>
    <w:p>
      <w:r>
        <w:t>\*CMYK-Werte sind rechnerische Ausgangswerte ohne Druckprofil. Für verbindlichen Druck sind Papier, Profil, Proof und Dienstleisterabstimmung erforderlich. Kein Sonderfarb-/Pantone-Anspruch wird aus diesen Werten abgeleitet.</w:t>
      </w:r>
    </w:p>
    <w:p>
      <w:pPr>
        <w:pStyle w:val="Heading2"/>
        <w:pBdr>
          <w:top w:val="single" w:sz="5" w:space="8" w:color="E2DCC9"/>
        </w:pBdr>
      </w:pPr>
      <w:r>
        <w:t>7.2 Funktionale Statusfarben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Token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Rolle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HEX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Regel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Confirmed Text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bestätigt/positiv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234C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#234C78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Text/Icon auf Weiß oder Confirmed Soft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Confirmed Strong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starke Statusgrafik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2F5C8C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#2F5C8C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auch für normalen Text auf Weiß geeignet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Confirmed Soft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Hintergrund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#E8EEF5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immer zusätzlich Text/Icon/Label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Attention Text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Risiko/Änderung nötig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A94F4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#A94F45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Text/Icon auf Weiß oder Coral Soft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Attention Strong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große Statusgrafik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D95E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#D95E52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nicht für kleinen Text auf hellem Grund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Attention Soft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Hintergrund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FF0ED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#FFF0ED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nie alleinige Bedeutung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Warning Soft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wartet/prüfen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BEFD7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#FBEFD7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mit Bronze Text und Klartext kombinieren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Soft Stone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Linie/Trennung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D9D0C3"/>
            <w:vAlign w:val="center"/>
          </w:tcPr>
          <w:p>
            <w:pPr>
              <w:spacing w:after="0"/>
            </w:pPr>
            <w:r>
              <w:rPr>
                <w:b/>
                <w:color w:val="222222"/>
              </w:rPr>
            </w:r>
            <w:r>
              <w:rPr>
                <w:rFonts w:ascii="Arial" w:hAnsi="Arial"/>
                <w:b/>
                <w:color w:val="222222"/>
                <w:sz w:val="15"/>
              </w:rPr>
              <w:t>#D9D0C3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keine wichtige Information allein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7.3 Kontrastregeln</w:t>
      </w:r>
    </w:p>
    <w:p>
      <w:r>
        <w:t>Geprüfte WCAG-Kontrastverhältnisse: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Brand Navy auf Cream: </w:t>
      </w:r>
      <w:r>
        <w:rPr>
          <w:b/>
        </w:rPr>
        <w:t>15.03:1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Stage Navy auf Cream: </w:t>
      </w:r>
      <w:r>
        <w:rPr>
          <w:b/>
        </w:rPr>
        <w:t>16.66:1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App Navy auf Weiß: </w:t>
      </w:r>
      <w:r>
        <w:rPr>
          <w:b/>
        </w:rPr>
        <w:t>15.51:1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Gold auf Brand Navy: </w:t>
      </w:r>
      <w:r>
        <w:rPr>
          <w:b/>
        </w:rPr>
        <w:t>6.91:1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Ink auf Cream: </w:t>
      </w:r>
      <w:r>
        <w:rPr>
          <w:b/>
        </w:rPr>
        <w:t>14.48:1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Confirmed Text auf Confirmed Soft: </w:t>
      </w:r>
      <w:r>
        <w:rPr>
          <w:b/>
        </w:rPr>
        <w:t>7.57:1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Confirmed Strong auf Weiß: </w:t>
      </w:r>
      <w:r>
        <w:rPr>
          <w:b/>
        </w:rPr>
        <w:t>6.93:1</w:t>
      </w:r>
      <w:r>
        <w:t xml:space="preserve"> – normaler Text geeignet.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Attention Text auf Attention Soft: </w:t>
      </w:r>
      <w:r>
        <w:rPr>
          <w:b/>
        </w:rPr>
        <w:t>4.87:1</w:t>
      </w:r>
      <w:r>
        <w:t xml:space="preserve"> – normaler Text geeignet.</w:t>
      </w:r>
    </w:p>
    <w:p>
      <w:r>
        <w:t>Nicht für normalen Kleintext: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Gold Deep auf Cream: 3.53:1;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App-Bronze </w:t>
      </w:r>
      <w:r>
        <w:rPr>
          <w:rFonts w:ascii="Arial" w:hAnsi="Arial"/>
          <w:color w:val="7D6130"/>
          <w:sz w:val="19"/>
        </w:rPr>
        <w:t>#B58A45</w:t>
      </w:r>
      <w:r>
        <w:t xml:space="preserve"> auf Weiß: 3.14:1;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Coral Strong </w:t>
      </w:r>
      <w:r>
        <w:rPr>
          <w:rFonts w:ascii="Arial" w:hAnsi="Arial"/>
          <w:color w:val="7D6130"/>
          <w:sz w:val="19"/>
        </w:rPr>
        <w:t>#D95E52</w:t>
      </w:r>
      <w:r>
        <w:t xml:space="preserve"> auf Coral Soft: 3.34:1;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Neutral Gray auf Cream: 4.17:1 – nur ab 18 pt beziehungsweise 14 pt fett oder als nichtkritischer Sekundärtext.</w:t>
      </w:r>
    </w:p>
    <w:p>
      <w:pPr>
        <w:pStyle w:val="Heading2"/>
        <w:pBdr>
          <w:top w:val="single" w:sz="5" w:space="8" w:color="E2DCC9"/>
        </w:pBdr>
      </w:pPr>
      <w:r>
        <w:t>7.4 Farbverteilung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65–80 % Cream/White/ruhige Fläche;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15–30 % Navy/Ink/Struktur;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3–8 % Gold/Bronze;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funktionale Statusblau-/Coral-/Warning-Farben nur dort, wo ein echter Zustand erklärt wird.</w:t>
      </w:r>
    </w:p>
    <w:p>
      <w:r>
        <w:t>Kein Dokument und keine Oberfläche soll gleichzeitig alle Akzentfarben zeigen.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Typografie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08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8.1 Schriftfamilien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Kanal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Primär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Akzent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Fallback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Website/Brand Digital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Geist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Fraunces; Geist Mono für kurze Systemlabels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Segoe UI, Arial, sans-serif / Georgia, serif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App/UI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Geist oder Inter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Fraunces/Georgia nur für kurze Begrüßungen und Bereichstitel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system-ui, Segoe UI, Arial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DOCX/PDF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Arial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Georgia nur für kurze Zitate oder Kapitelauftakt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Aptos, Calibri, sans-serif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Präsentation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Arial oder Geist bei eingebetteter/gesicherter Datei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Fraunces/Georgia sparsam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Aptos, Calibri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Social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Geist/Arial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Fraunces für eine kurze Leitzeile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system-ui, Arial</w:t>
            </w:r>
          </w:p>
        </w:tc>
      </w:tr>
    </w:tbl>
    <w:p>
      <w:pPr>
        <w:spacing w:after="20"/>
      </w:pPr>
    </w:p>
    <w:p>
      <w:r>
        <w:t>Fraunces, Geist und Geist Mono liegen für die lokale Website vor. Externe oder editierbare Office-Dateien verwenden Arial, solange Fontverfügbarkeit und Einbettung nicht sicher sind.</w:t>
      </w:r>
    </w:p>
    <w:p>
      <w:pPr>
        <w:pStyle w:val="Heading2"/>
        <w:pBdr>
          <w:top w:val="single" w:sz="5" w:space="8" w:color="E2DCC9"/>
        </w:pBdr>
      </w:pPr>
      <w:r>
        <w:t>8.2 Web-Skala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Stil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Größe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Zeilenhöhe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Gewicht</w:t>
            </w:r>
          </w:p>
        </w:tc>
        <w:tc>
          <w:tcPr>
            <w:tcW w:type="dxa" w:w="1973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Verwendung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Display XL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7D6130"/>
                <w:sz w:val="15"/>
              </w:rPr>
              <w:t>clamp(48px, 7vw, 96px)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0.98–1.05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380–440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Hero, maximal 2–3 Zeilen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Display 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7D6130"/>
                <w:sz w:val="15"/>
              </w:rPr>
              <w:t>clamp(40px, 5vw, 72px)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1.02–1.10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400–440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Kapitel-/Bühnentitel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Heading M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30–42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1.12–1.22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500–600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Sektion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Heading S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22–28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1.20–1.30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500–600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Modul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Body 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18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1.60–1.70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400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Lead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Body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16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1.55–1.65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400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Fließtext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Label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11–12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1.25–1.40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500–650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kurze Uppercase-Systemlabels</w:t>
            </w:r>
          </w:p>
        </w:tc>
      </w:tr>
      <w:tr>
        <w:trPr>
          <w:cantSplit/>
        </w:trPr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Legal/Micro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12–13 px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1.45–1.60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400</w:t>
            </w:r>
          </w:p>
        </w:tc>
        <w:tc>
          <w:tcPr>
            <w:tcW w:type="dxa" w:w="1973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nichtkritische Hinweise; nie Kernpflichten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8.3 App-Skala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Stil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Größe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Zeilenhöhe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Regel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App Title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28–34 px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1.10–1.20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maximal zwei Zeilen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Section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22–26 px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1.18–1.28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kurze Titel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Body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15–16 px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1.45–1.60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Standardlesetext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Control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14–16 px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1.25–1.40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Buttons, Felder, Navigation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Metadata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12–13 px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1.35–1.50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sekundär</w:t>
            </w:r>
          </w:p>
        </w:tc>
      </w:tr>
    </w:tbl>
    <w:p>
      <w:pPr>
        <w:spacing w:after="20"/>
      </w:pPr>
    </w:p>
    <w:p>
      <w:r>
        <w:t>Die im Prototyp vorkommenden 7–10-px-Texte gelten nicht als zukünftiger Produktionsstandard.</w:t>
      </w:r>
    </w:p>
    <w:p>
      <w:pPr>
        <w:pStyle w:val="Heading2"/>
        <w:pBdr>
          <w:top w:val="single" w:sz="5" w:space="8" w:color="E2DCC9"/>
        </w:pBdr>
      </w:pPr>
      <w:r>
        <w:t>8.4 A4-Dokumente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Stil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Größe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Zeilenhöhe / Abstand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Dokumenttitel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26–30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1.05–1.15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Kapitelüberschrift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16–19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1.10–1.20; 18–24 pt davor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Unterüberschrift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12–13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1.20–1.30; 10–14 pt davor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Fließtext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10–10.5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1.35–1.45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Tabellenkörper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8.8–9.5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1.20–1.30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Fußzeile/Quelle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8–8.5 pt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1.20–1.30; nie für wesentliche Pflichtinformation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8.5 Präsentationen und Social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Decktitel: 32–44 pt, bei kurzen Keynotes bis 52 pt.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Folientitel: 24–32 pt.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Body: 16–20 pt; Quellen mindestens 10–11 pt.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Social Headline: 36–64 px je Format, mobile Lesbarkeit zuerst.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Maximal zwei Schriftfamilien pro Artefakt, Mono zählt als dritte nur für sehr kurze Systemlabels.</w:t>
      </w:r>
    </w:p>
    <w:p>
      <w:pPr>
        <w:pStyle w:val="Heading2"/>
        <w:pBdr>
          <w:top w:val="single" w:sz="5" w:space="8" w:color="E2DCC9"/>
        </w:pBdr>
      </w:pPr>
      <w:r>
        <w:t>8.6 Typografische Regeln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linksbündig für längere Fachtexte;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vollflächige Versalschrift;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Uppercase nur für kurze Labels, mit 0.08–0.14 em Laufweite;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negativen Laufweiten in Office-Dokumenten;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Zahlen tabellarisch ausrichten, wo Vergleich wichtig ist;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Schriftverkleinerung als erste Lösung für Platzprobleme;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Deutsch: typografische Anführungszeichen „…“; Englisch: “…”;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Gedankenstrich als Halbgeviertstrich – nicht Bindestrich – für Einschübe.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Raster, Abstand und Form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09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9.1 Spacing-Tokens</w:t>
      </w:r>
    </w:p>
    <w:p>
      <w:r>
        <w:t>Grundraster 4 px:</w:t>
      </w:r>
    </w:p>
    <w:p>
      <w:r>
        <w:rPr>
          <w:rFonts w:ascii="Arial" w:hAnsi="Arial"/>
          <w:color w:val="7D6130"/>
          <w:sz w:val="19"/>
        </w:rPr>
        <w:t>4 / 8 / 12 / 16 / 24 / 32 / 48 / 64 / 96</w:t>
      </w:r>
    </w:p>
    <w:p>
      <w:r>
        <w:t>Office-Entsprechung:</w:t>
      </w:r>
    </w:p>
    <w:p>
      <w:r>
        <w:rPr>
          <w:rFonts w:ascii="Arial" w:hAnsi="Arial"/>
          <w:color w:val="7D6130"/>
          <w:sz w:val="19"/>
        </w:rPr>
        <w:t>2 / 4 / 6 / 8 / 12 / 16 / 24 / 32 pt</w:t>
      </w:r>
    </w:p>
    <w:p>
      <w:r>
        <w:t>Zwischen Überschrift und Inhalt muss weniger Abstand liegen als zwischen zwei Themenblöcken.</w:t>
      </w:r>
    </w:p>
    <w:p>
      <w:pPr>
        <w:pStyle w:val="Heading2"/>
        <w:pBdr>
          <w:top w:val="single" w:sz="5" w:space="8" w:color="E2DCC9"/>
        </w:pBdr>
      </w:pPr>
      <w:r>
        <w:t>9.2 Website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Contentbreite: 1180–1240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breite Medien-/Systembühne: maximal 1360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Desktop-Gutter: 48–64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Tablet: 32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Mobile: 20–24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12-Spalten-Denken, sichtbar als 2-, 3- oder asymmetrische redaktionelle Spalten;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ab etwa 1040 px komplexe Raster vereinfachen;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ab etwa 720 px in einen klaren vertikalen Lesepfad überführen.</w:t>
      </w:r>
    </w:p>
    <w:p>
      <w:pPr>
        <w:pStyle w:val="Heading2"/>
        <w:pBdr>
          <w:top w:val="single" w:sz="5" w:space="8" w:color="E2DCC9"/>
        </w:pBdr>
      </w:pPr>
      <w:r>
        <w:t>9.3 App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primäre Referenz: 390 × 844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Seitenpadding: 18–20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Contentabstand: 16–24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Bottom Navigation nur für rollenspezifische Hauptwege;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offene Listen und Rails vor verschachtelten Karten;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Touch-Ziele mindestens 44 × 44 px.</w:t>
      </w:r>
    </w:p>
    <w:p>
      <w:pPr>
        <w:pStyle w:val="Heading2"/>
        <w:pBdr>
          <w:top w:val="single" w:sz="5" w:space="8" w:color="E2DCC9"/>
        </w:pBdr>
      </w:pPr>
      <w:r>
        <w:t>9.4 Dokumente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A4 Hochformat für formale, narrative Unterlagen;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A4 Querformat nur für echte Vergleichs-/Entscheidungsmatrizen;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Seitenränder 17–20 mm;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1–2 Hauptspalten; Marginalie nur für Status, Quelle oder Entscheidung;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eine dichte Tabelle pro Seite ist meist genug;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Seitenzahl, Status und Datum konsistent in Fußzeile.</w:t>
      </w:r>
    </w:p>
    <w:p>
      <w:pPr>
        <w:pStyle w:val="Heading2"/>
        <w:pBdr>
          <w:top w:val="single" w:sz="5" w:space="8" w:color="E2DCC9"/>
        </w:pBdr>
      </w:pPr>
      <w:r>
        <w:t>9.5 Radien, Linien, Schatten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Element</w:t>
            </w:r>
          </w:p>
        </w:tc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Regel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Radien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0 px editorial; 4 px Standard; 8 px maximal für funktionale Module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Kreise/Pills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für Avatar, Schrittpunkt, Toggle oder knappen Status; keine Pill-Inflation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Linien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 px, Soft Stone oder transparente Gold-/Navy-Linie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Schatten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standardmäßig keiner; maximal ein weicher Lift bei Overlay/Modal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Boxen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wenn Abgrenzung funktional nötig ist; nie Boxen in Boxen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Ikonografie und Bewegung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10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10.1 Icons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Lucide oder vergleichbares offenes Line-Icon-System;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1.75–2 px Strichstärke im UI;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Standardgrößen 18, 20 oder 24 px;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Icon erklärt Navigation oder Handlung, es dekoriert nicht;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Textlabel bleibt bei kritischen Aktionen erhalten;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gemischten Filled-/Outline-Stile in einem Artefakt.</w:t>
      </w:r>
    </w:p>
    <w:p>
      <w:pPr>
        <w:pStyle w:val="Heading2"/>
        <w:pBdr>
          <w:top w:val="single" w:sz="5" w:space="8" w:color="E2DCC9"/>
        </w:pBdr>
      </w:pPr>
      <w:r>
        <w:t>10.2 Motion-Tokens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Token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Dauer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Verwendung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Micro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180–240 ms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Toggle, Hover, Zustandswechsel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Standard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280–360 ms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Panel, Navigation, Sheet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Reveal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600–800 ms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Abschnitt, Bild, Prozessschritt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Ambient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8–13 s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sehr ruhige Linien-/Rasterbewegung</w:t>
            </w:r>
          </w:p>
        </w:tc>
      </w:tr>
    </w:tbl>
    <w:p>
      <w:pPr>
        <w:spacing w:after="20"/>
      </w:pPr>
    </w:p>
    <w:p>
      <w:r>
        <w:t xml:space="preserve">Easing: </w:t>
      </w:r>
      <w:r>
        <w:rPr>
          <w:rFonts w:ascii="Arial" w:hAnsi="Arial"/>
          <w:color w:val="7D6130"/>
          <w:sz w:val="19"/>
        </w:rPr>
        <w:t>cubic-bezier(0.4, 0, 0.1, 1)</w:t>
      </w:r>
      <w:r>
        <w:t xml:space="preserve"> oder ruhiges </w:t>
      </w:r>
      <w:r>
        <w:rPr>
          <w:rFonts w:ascii="Arial" w:hAnsi="Arial"/>
          <w:color w:val="7D6130"/>
          <w:sz w:val="19"/>
        </w:rPr>
        <w:t>ease-in-out</w:t>
      </w:r>
      <w:r>
        <w:t>.</w:t>
      </w:r>
    </w:p>
    <w:p>
      <w:r>
        <w:t>Verbindlich: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prefers-reduced-motion</w:t>
      </w:r>
      <w:r>
        <w:t xml:space="preserve"> respektieren;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Information ausschließlich animieren;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Bounce-, Game-UI-, Neon- oder Dauer-Scan-Effekte;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Video ohne Autoplay-Ton; Untertitel beziehungsweise Textalternative vorsehen.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Zentrale visuelle Motive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11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11.1 Arrival Line</w:t>
      </w:r>
    </w:p>
    <w:p>
      <w:r>
        <w:t>Eine feine Linie verbindet Phasen, Übergänge oder Entscheidungsstationen. Sie steht für den kontrollierten Weg nach der Personalzusage.</w:t>
      </w:r>
    </w:p>
    <w:p>
      <w:r>
        <w:t>Do: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als Prozessachse, Kapitelrhythmus, Timeline oder Logo-nahe Linie;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 Startpunkt, wenige klare Stationen, ein erkennbarer nächster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Gold auf Navy oder Navy/Bronze auf hell.</w:t>
      </w:r>
    </w:p>
    <w:p>
      <w:r>
        <w:t>Don’t: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dekoratives Wellenmuster;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beliebige Pfeile;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zu viele Knoten oder ein generisches Netzwerkdiagramm.</w:t>
      </w:r>
    </w:p>
    <w:p>
      <w:pPr>
        <w:pStyle w:val="Heading2"/>
        <w:pBdr>
          <w:top w:val="single" w:sz="5" w:space="8" w:color="E2DCC9"/>
        </w:pBdr>
      </w:pPr>
      <w:r>
        <w:t>11.2 Control Center</w:t>
      </w:r>
    </w:p>
    <w:p>
      <w:r>
        <w:t>Das Motiv zeigt ein gemeinsames Arbeitsbild: Status, Risiko, Zuständigkeit, Freigabe und nächste Entscheidung.</w:t>
      </w:r>
    </w:p>
    <w:p>
      <w:r>
        <w:t>Do: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Ledger, Phasenrail, Freigabeliste, Risikozeile, Statuspunkt;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echte Informationshierarchie;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Demo- oder Prototypstatus sichtbar.</w:t>
      </w:r>
    </w:p>
    <w:p>
      <w:r>
        <w:t>Don’t: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Dashboard-Karten als reine Kulisse;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erfundene Live-KPIs;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UI-Screenshot als Beweis produktiver Funktion.</w:t>
      </w:r>
    </w:p>
    <w:p>
      <w:pPr>
        <w:pStyle w:val="Heading2"/>
        <w:pBdr>
          <w:top w:val="single" w:sz="5" w:space="8" w:color="E2DCC9"/>
        </w:pBdr>
      </w:pPr>
      <w:r>
        <w:t>11.3 Gate-Modell</w:t>
      </w:r>
    </w:p>
    <w:p>
      <w:r>
        <w:t>Gates markieren Entscheidungen, Voraussetzungen oder Übergänge: Readiness, Arrival, Stabilisierung und Lerntransfer.</w:t>
      </w:r>
    </w:p>
    <w:p>
      <w:r>
        <w:t>Jedes Gate benötigt: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Eingangsvoraussetzung;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verantwortliche Rolle;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Entscheidung oder Freigabe;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dokumentierten nächsten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klare Nichtzusage.</w:t>
      </w:r>
    </w:p>
    <w:p>
      <w:pPr>
        <w:pStyle w:val="Heading2"/>
        <w:pBdr>
          <w:top w:val="single" w:sz="5" w:space="8" w:color="E2DCC9"/>
        </w:pBdr>
      </w:pPr>
      <w:r>
        <w:t>11.4 Partner Layer</w:t>
      </w:r>
    </w:p>
    <w:p>
      <w:r>
        <w:t>Partner werden als kuratierte Kategorien und Wege gezeigt, nicht als dekorative Community-Wolke.</w:t>
      </w:r>
    </w:p>
    <w:p>
      <w:r>
        <w:t>Struktur: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Wohnen/Unterkunft;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Mobilität;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Sprache und Orientierung;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Sport, Kultur und Alltag;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Familie, Kita/Schule;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externe Fachpartner;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Kommune/Institutionen.</w:t>
      </w:r>
    </w:p>
    <w:p>
      <w:r>
        <w:t>Partnerstatus muss unterscheidbar sein: Kategorie, Gespräch, qualifizierter Pfad, belegt aktiv. Ein Logo-Teppich ist nur mit Nutzungsrechten und bestätigter Beziehung zulässig.</w:t>
      </w: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VISUELLES SYSTEM</w:t>
            </w:r>
          </w:p>
          <w:p>
            <w:pPr>
              <w:pStyle w:val="Heading1"/>
              <w:spacing w:after="0"/>
            </w:pPr>
            <w:r>
              <w:t>Bild-, Foto-, Illustrations- und Videostil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12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12.1 Fotografie</w:t>
      </w:r>
    </w:p>
    <w:p>
      <w:r>
        <w:t>Bevorzugt: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internationale und überregionale Professionals auf Augenhöhe;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reale Arbeits-, Ankunfts-, Stadt- und Wohnsituationen;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beobachtende, redaktionelle Perspektiven statt Werbeposen;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ruhige Farben, natürliche Hauttöne, tiefe Navy-Schatten, warmer Gold-/Tageslichtakzent;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echte räumliche Orientierung: Übergang, Weg, Eingang, Karte, Schlüssel, Arbeitsweg.</w:t>
      </w:r>
    </w:p>
    <w:p>
      <w:r>
        <w:t>Vermeiden: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hilfsbedürftige oder anonyme „Ausländer“-Inszenierung;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Pflegebett-, Senioren-, Handschlag- und Callcenter-Klischees;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jubelnde Stockteams;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künstliche Tech-Overlays über Gesichtern;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Immobilien-Luxusästhetik als Hauptmarke;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dunkle Blur-Flächen ohne Informationswert.</w:t>
      </w:r>
    </w:p>
    <w:p>
      <w:pPr>
        <w:pStyle w:val="Heading2"/>
        <w:pBdr>
          <w:top w:val="single" w:sz="5" w:space="8" w:color="E2DCC9"/>
        </w:pBdr>
      </w:pPr>
      <w:r>
        <w:t>12.2 Illustration und Diagramm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strukturell, geometrisch und informationsnah;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Linien, Phasen, Gates, Layer, Rollen und Übergaben;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wenige Farben und klarer Start-/Endpunkt;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isometrischen Menschenmengen, 3D-Avatare oder generische KI-Netze.</w:t>
      </w:r>
    </w:p>
    <w:p>
      <w:pPr>
        <w:pStyle w:val="Heading2"/>
        <w:pBdr>
          <w:top w:val="single" w:sz="5" w:space="8" w:color="E2DCC9"/>
        </w:pBdr>
      </w:pPr>
      <w:r>
        <w:t>12.3 Video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6–15 Sekunden für atmosphärische Loops;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24–45 Sekunden für eine klare Systemerklärung;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60–120 Sekunden nur bei echtem narrativem Nutzen;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ruhige Kamera, echte Orts-/Prozessdetails, keine Hype-Musik;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Produktdemo mit sichtbarem Demo-/Prototypstatus;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Untertitel und statische Alternative.</w:t>
      </w:r>
    </w:p>
    <w:p>
      <w:pPr>
        <w:pStyle w:val="Heading2"/>
        <w:pBdr>
          <w:top w:val="single" w:sz="5" w:space="8" w:color="E2DCC9"/>
        </w:pBdr>
      </w:pPr>
      <w:r>
        <w:t>12.4 Rechte und Herkunft</w:t>
      </w:r>
    </w:p>
    <w:p>
      <w:r>
        <w:t>Für jedes Medium dokumentieren: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Quelle und Ersteller;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Nutzungsrecht und Kanal;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Personen-/Property-Release, falls relevant;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Bearbeitungsstand;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KI-generiert oder synthetisch, falls zutreffend;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Freigabestatus und Ablaufdatum.</w:t>
      </w:r>
    </w:p>
    <w:p>
      <w:r>
        <w:t>Ein generiertes oder lokal gespeichertes Bild ist kein automatisch freigegebenes Markenasset.</w:t>
      </w: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Sprache und Ton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13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13.1 Grundton</w:t>
      </w:r>
    </w:p>
    <w:p>
      <w:r>
        <w:t>Ruhig, hochwertig, präzise, menschlich und B2B-klar. Der Text führt zu einer Entscheidung; er demonstriert keine sprachliche Virtuosität um ihrer selbst willen.</w:t>
      </w:r>
    </w:p>
    <w:p>
      <w:pPr>
        <w:pStyle w:val="Heading2"/>
        <w:pBdr>
          <w:top w:val="single" w:sz="5" w:space="8" w:color="E2DCC9"/>
        </w:pBdr>
      </w:pPr>
      <w:r>
        <w:t>13.2 Satzbau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aktive Verben und konkrete Subjekte;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meist 12–22 Wörter pro Satz;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 Gedanke pro Absatz;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erst Aussage, dann Einordnung, dann Grenze oder nächster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Fachbegriffe nur, wenn sie Entscheidung oder Prozess verbessern.</w:t>
      </w:r>
    </w:p>
    <w:p>
      <w:pPr>
        <w:pStyle w:val="Heading2"/>
        <w:pBdr>
          <w:top w:val="single" w:sz="5" w:space="8" w:color="E2DCC9"/>
        </w:pBdr>
      </w:pPr>
      <w:r>
        <w:t>13.3 Bevorzugte Begriffe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steuerbar;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sichtbar;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prüfbar;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Zuständigkeit;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Freigabe;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Partnerpfad;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separate Kostenposition;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Stabilisierungspunkt;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nächster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definierter Scope;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lokal/synthetischer Prototyp;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geplant/MVP;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persönlich geführter Prozess.</w:t>
      </w:r>
    </w:p>
    <w:p>
      <w:pPr>
        <w:pStyle w:val="Heading2"/>
        <w:pBdr>
          <w:top w:val="single" w:sz="5" w:space="8" w:color="E2DCC9"/>
        </w:pBdr>
      </w:pPr>
      <w:r>
        <w:t>13.4 Riskante oder gesperrte Begriffe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Begriff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Risiko</w:t>
            </w:r>
          </w:p>
        </w:tc>
        <w:tc>
          <w:tcPr>
            <w:tcW w:type="dxa" w:w="3288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bessere Form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garantiert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Ergebnisversprechen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Ziel, Prozess, Prüfpunkt oder vereinbarter Scope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vermittelt Wohnung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Makler-/Erfolgsnähe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strukturiert Wohnbedarf und koordinierte Partnerpfade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rekrutiert Fachkräfte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falsche Leistungszuordnung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setzt nach der Personalzusage an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vollautomatisch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Reifegrad-/Haftungsrisiko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unterstützt, strukturiert, unter menschlicher Verantwortung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KI-Matching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nicht belegt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geplante unterstützende Signale/Zusammenfassungen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aktive Community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Nachweis fehlt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geplanter Partner- und Community-Layer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alles aus einer Hand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verwischt externe Leistungen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AMAVIO koordiniert den vereinbarten Prozess und grenzt Drittleistungen ab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reduziert Fluktuation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Wirkung nicht belegt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adressiert frühe Ankunfts- und Stabilitätsrisiken</w:t>
            </w:r>
          </w:p>
        </w:tc>
      </w:tr>
      <w:tr>
        <w:trPr>
          <w:cantSplit/>
        </w:trPr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Integration gelingt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Ergebnisgarantie</w:t>
            </w:r>
          </w:p>
        </w:tc>
        <w:tc>
          <w:tcPr>
            <w:tcW w:type="dxa" w:w="3288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schafft strukturierte Voraussetzungen und Partnerpfade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13.5 Deutsche Schreibregeln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Fachkräfte</w:t>
      </w:r>
      <w:r>
        <w:t xml:space="preserve">, nicht dauerhaft </w:t>
      </w:r>
      <w:r>
        <w:rPr>
          <w:rFonts w:ascii="Arial" w:hAnsi="Arial"/>
          <w:color w:val="7D6130"/>
          <w:sz w:val="19"/>
        </w:rPr>
        <w:t>Talente</w:t>
      </w:r>
      <w:r>
        <w:t>, wenn Beschäftigungs-/Ankunftsprozess gemeint ist;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Wohnanbieter</w:t>
      </w:r>
      <w:r>
        <w:t xml:space="preserve">, nicht automatisch </w:t>
      </w:r>
      <w:r>
        <w:rPr>
          <w:rFonts w:ascii="Arial" w:hAnsi="Arial"/>
          <w:color w:val="7D6130"/>
          <w:sz w:val="19"/>
        </w:rPr>
        <w:t>Vermieter</w:t>
      </w:r>
      <w:r>
        <w:t>, wenn die Rolle breiter ist;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nach der Personalzusage</w:t>
      </w:r>
      <w:r>
        <w:t xml:space="preserve">, nicht pauschal </w:t>
      </w:r>
      <w:r>
        <w:rPr>
          <w:rFonts w:ascii="Arial" w:hAnsi="Arial"/>
          <w:color w:val="7D6130"/>
          <w:sz w:val="19"/>
        </w:rPr>
        <w:t>nach dem Recruiting</w:t>
      </w:r>
      <w:r>
        <w:t>, wenn Genauigkeit zählt;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Gendern kontextgerecht und lesbar: neutrale Plurale bevorzugen; keine wechselnden Systeme im selben Artefakt;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englische Produktnamen nicht unnötig eindeutschen.</w:t>
      </w:r>
    </w:p>
    <w:p>
      <w:pPr>
        <w:pStyle w:val="Heading2"/>
        <w:pBdr>
          <w:top w:val="single" w:sz="5" w:space="8" w:color="E2DCC9"/>
        </w:pBdr>
      </w:pPr>
      <w:r>
        <w:t>13.6 Englische Schreibregeln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workforce arrival</w:t>
      </w:r>
      <w:r>
        <w:t xml:space="preserve"> klein als Kategorie, </w:t>
      </w:r>
      <w:r>
        <w:rPr>
          <w:rFonts w:ascii="Arial" w:hAnsi="Arial"/>
          <w:color w:val="7D6130"/>
          <w:sz w:val="19"/>
        </w:rPr>
        <w:t>Workforce Arrival Infrastructure</w:t>
      </w:r>
      <w:r>
        <w:t xml:space="preserve"> als definierte Kategoriezeile;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Arrival Control Center</w:t>
      </w:r>
      <w:r>
        <w:t xml:space="preserve"> und </w:t>
      </w:r>
      <w:r>
        <w:rPr>
          <w:rFonts w:ascii="Arial" w:hAnsi="Arial"/>
          <w:color w:val="7D6130"/>
          <w:sz w:val="19"/>
        </w:rPr>
        <w:t>AMAVIO One App</w:t>
      </w:r>
      <w:r>
        <w:t xml:space="preserve"> als Eigennamen;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international professionals</w:t>
      </w:r>
      <w:r>
        <w:t xml:space="preserve">, nicht </w:t>
      </w:r>
      <w:r>
        <w:rPr>
          <w:rFonts w:ascii="Arial" w:hAnsi="Arial"/>
          <w:color w:val="7D6130"/>
          <w:sz w:val="19"/>
        </w:rPr>
        <w:t>foreign workers</w:t>
      </w:r>
      <w:r>
        <w:t>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housing coordination</w:t>
      </w:r>
      <w:r>
        <w:t xml:space="preserve">, nicht </w:t>
      </w:r>
      <w:r>
        <w:rPr>
          <w:rFonts w:ascii="Arial" w:hAnsi="Arial"/>
          <w:color w:val="7D6130"/>
          <w:sz w:val="19"/>
        </w:rPr>
        <w:t>housing placement</w:t>
      </w:r>
      <w:r>
        <w:t>, sofern keine Vermittlung belegt ist;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human-in-the-loop support</w:t>
      </w:r>
      <w:r>
        <w:t>, wenn geplante KI-Unterstützung beschrieben wird;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wörtliche Übertragung deutscher Verwaltungssprache ohne Erklärung.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Do/Don’t-Beispiele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14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14.1 Positionierung</w:t>
      </w:r>
    </w:p>
    <w:p>
      <w:r>
        <w:rPr>
          <w:b/>
        </w:rPr>
        <w:t>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AMAVIO One führt den vereinbarten Arbeitgeberprozess nach der Personalzusage: mit geklärten Rollen, Status, Freigaben, Partnerpfaden und definierten Stabilisierungspunkten.</w:t>
            </w:r>
          </w:p>
        </w:tc>
      </w:tr>
    </w:tbl>
    <w:p>
      <w:pPr>
        <w:spacing w:after="20"/>
      </w:pPr>
    </w:p>
    <w:p>
      <w:r>
        <w:rPr>
          <w:b/>
        </w:rPr>
        <w:t>Don’t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AMAVIO One ist die vollautomatische KI-Plattform, die internationale Fachkräfte vermittelt, Wohnungen garantiert und Fluktuation verhindert.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14.2 ACC</w:t>
      </w:r>
    </w:p>
    <w:p>
      <w:r>
        <w:rPr>
          <w:b/>
        </w:rPr>
        <w:t>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Die lokale ACC-Konzeptdemo zeigt mit synthetischen Daten, wie Mandate, Risiken, Aufgaben und Freigaben später in einem gemeinsamen Arbeitsbild zusammenlaufen können.</w:t>
            </w:r>
          </w:p>
        </w:tc>
      </w:tr>
    </w:tbl>
    <w:p>
      <w:pPr>
        <w:spacing w:after="20"/>
      </w:pPr>
    </w:p>
    <w:p>
      <w:r>
        <w:rPr>
          <w:b/>
        </w:rPr>
        <w:t>Don’t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Kunden steuern ihre Kohorten bereits live in unserem Control Center.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14.3 App</w:t>
      </w:r>
    </w:p>
    <w:p>
      <w:r>
        <w:rPr>
          <w:b/>
        </w:rPr>
        <w:t>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Der lokale Funktionsprototyp trennt die Ansichten von Fachkraft, Wohnanbieter und lokalem Partner und simuliert ausgewählte Status- und Rückmeldewege.</w:t>
            </w:r>
          </w:p>
        </w:tc>
      </w:tr>
    </w:tbl>
    <w:p>
      <w:pPr>
        <w:spacing w:after="20"/>
      </w:pPr>
    </w:p>
    <w:p>
      <w:r>
        <w:rPr>
          <w:b/>
        </w:rPr>
        <w:t>Don’t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Unsere App verbindet heute alle Beteiligten in Echtzeit.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14.4 Partner</w:t>
      </w:r>
    </w:p>
    <w:p>
      <w:r>
        <w:rPr>
          <w:b/>
        </w:rPr>
        <w:t>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AMAVIO strukturiert benötigte Partnerkategorien und qualifiziert passende Pfade im vereinbarten Scope.</w:t>
            </w:r>
          </w:p>
        </w:tc>
      </w:tr>
    </w:tbl>
    <w:p>
      <w:pPr>
        <w:spacing w:after="20"/>
      </w:pPr>
    </w:p>
    <w:p>
      <w:r>
        <w:rPr>
          <w:b/>
        </w:rPr>
        <w:t>Don’t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Unser großes Partnernetzwerk bietet garantierte Verfügbarkeit und exklusive Rabatte.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14.5 Wirkung</w:t>
      </w:r>
    </w:p>
    <w:p>
      <w:r>
        <w:rPr>
          <w:b/>
        </w:rPr>
        <w:t>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Der Prozess soll Risiken früher sichtbar machen und Übergaben nachvollziehbarer organisieren. Eine bestimmte Einsparung oder Bindungswirkung wird nicht garantiert.</w:t>
            </w:r>
          </w:p>
        </w:tc>
      </w:tr>
    </w:tbl>
    <w:p>
      <w:pPr>
        <w:spacing w:after="20"/>
      </w:pPr>
    </w:p>
    <w:p>
      <w:r>
        <w:rPr>
          <w:b/>
        </w:rPr>
        <w:t>Don’t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AMAVIO senkt Ihre Fluktuation nachweislich und spart garantiert Kosten.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Regeln je Artefakt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15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Artefakt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Hauptziel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Gestaltungs-/Strukturmuster</w:t>
            </w:r>
          </w:p>
        </w:tc>
        <w:tc>
          <w:tcPr>
            <w:tcW w:type="dxa" w:w="2466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Claim- und Inhaltsgrenze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Businessplan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vollständige, prüfbare Unternehmenslogik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sober A4, Inhaltsverzeichnis, klare Kapitel, Tabellen mit Quellen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Ist/Plan/Nachweis offen trennen; Zahlenquelle sperren; keine Marketingüberhöhung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Executive Summary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Entscheidung in wenigen Minuten ermöglichen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1–3 Seiten, starke These, Marktproblem, Lösung, Geschäftsmodell, Gründerfit, nächster Schritt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nicht durch Kleinschrift verdichten; Produktreife und heutige Leistung klar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Förderantrag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Förderlogik und Vorhaben prüfbar machen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offizielle Formstruktur bewahren, Evidence-/Gate-Hinweise, Statusdatum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keine Förderzusage; Förderfähigkeit, Antrag und Bewilligung trennen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Investorendeck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These, Markt, Modell, Traktion/Reifegrad, Kapitalweg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eine Aussage pro Folie, systemische Diagramme, wenige belastbare Zahlen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keine erfundene Traktion, Kunden, Partner, SaaS- oder KI-Reife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Kundendeck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Kaufauslöser, Scope und nächste Entscheidung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Ausgangslage → Kontrolllauf → Ergebnisartefakte → Grenzen → nächster Schritt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keine interne Strategie-/Fördersprache; Drittleistungen und Pflichten trennen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Partnerpräsentation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Rolle, Nutzen, Prozess und Datenminimum klären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Partner-Layer, Übergabe, Qualitäts-/Freigabepunkte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keine garantierte Nachfrage, Reichweite, Veröffentlichung oder Exklusivität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Website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Kategorie, Vertrauen und qualifizierte Anfrage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filmisch-redaktionelle Bühne, klare Pfade, Arrival Line, wenige CTAs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lokale Seite ist nicht automatisch public; Legal/Privacy/Hosting separat freigeben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App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rollenreine nächste Schritte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mobile-first, offene Listen, klare Zustände, Bottom Navigation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 Rollenwechsel im Produkt, keine fremden Daten, keine produktive Wirkung behaupten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LinkedIn/Social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einzelne Erkenntnis oder Beleg teilen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eine Kernidee, klare Visual-Hierarchie, kurze Caption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kein Produkt-/Partner-/Kundenstatus aus einem Entwurf ableiten</w:t>
            </w:r>
          </w:p>
        </w:tc>
      </w:tr>
      <w:tr>
        <w:trPr>
          <w:cantSplit/>
        </w:trPr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E-Mail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konkrete Entscheidung oder Übergabe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Betreff → Anlass → 3 Punkte → klare Bitte/Frist → Anlagenstatus</w:t>
            </w:r>
          </w:p>
        </w:tc>
        <w:tc>
          <w:tcPr>
            <w:tcW w:type="dxa" w:w="2466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7D6130"/>
                <w:sz w:val="15"/>
              </w:rPr>
              <w:t>angehängt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Arial" w:hAnsi="Arial"/>
                <w:color w:val="7D6130"/>
                <w:sz w:val="15"/>
              </w:rPr>
              <w:t>geprüft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Arial" w:hAnsi="Arial"/>
                <w:color w:val="7D6130"/>
                <w:sz w:val="15"/>
              </w:rPr>
              <w:t>versendet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Arial" w:hAnsi="Arial"/>
                <w:color w:val="7D6130"/>
                <w:sz w:val="15"/>
              </w:rPr>
              <w:t>eingereicht</w:t>
            </w:r>
            <w:r>
              <w:rPr>
                <w:color w:val="222222"/>
                <w:sz w:val="16"/>
              </w:rPr>
              <w:t xml:space="preserve"> und </w:t>
            </w:r>
            <w:r>
              <w:rPr>
                <w:rFonts w:ascii="Arial" w:hAnsi="Arial"/>
                <w:color w:val="7D6130"/>
                <w:sz w:val="15"/>
              </w:rPr>
              <w:t>bestätigt</w:t>
            </w:r>
            <w:r>
              <w:rPr>
                <w:color w:val="222222"/>
                <w:sz w:val="16"/>
              </w:rPr>
              <w:t xml:space="preserve"> sauber trennen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15.1 Businessplan-Muster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Cover: bestehendes Logo, Dokumenttyp, Version, Datum, Status.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Kapitelstart: Nummer, Aussageüberschrift, kurze Einordnung.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Zahlentabelle: Quelle, Zeitraum, Einheit und Annahme direkt sichtbar.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 xml:space="preserve">Evidence Block: </w:t>
      </w:r>
      <w:r>
        <w:rPr>
          <w:rFonts w:ascii="Arial" w:hAnsi="Arial"/>
          <w:color w:val="7D6130"/>
          <w:sz w:val="19"/>
        </w:rPr>
        <w:t>heute vorhanden / lokal demonstrierbar / geplant / Nachweis offen</w:t>
      </w:r>
      <w:r>
        <w:t>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Schluss: Risiken, offene Gates, konkrete nächste Schritte.</w:t>
      </w:r>
    </w:p>
    <w:p>
      <w:pPr>
        <w:pStyle w:val="Heading2"/>
        <w:pBdr>
          <w:top w:val="single" w:sz="5" w:space="8" w:color="E2DCC9"/>
        </w:pBdr>
      </w:pPr>
      <w:r>
        <w:t>15.2 Deck-Muster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01  </w:t>
      </w:r>
      <w:r>
        <w:t>Entscheiderthese.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02  </w:t>
      </w:r>
      <w:r>
        <w:t>reale Ausgangslage.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03  </w:t>
      </w:r>
      <w:r>
        <w:t>AMAVIO-Prozess und Abgrenzung.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04  </w:t>
      </w:r>
      <w:r>
        <w:t>Angebot/Scope.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05  </w:t>
      </w:r>
      <w:r>
        <w:t>Produktbausteine mit Reifegrad.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06  </w:t>
      </w:r>
      <w:r>
        <w:t>Belege und offene Nachweise.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07  </w:t>
      </w:r>
      <w:r>
        <w:t>Entscheidung/Nächster Schritt.</w:t>
      </w:r>
    </w:p>
    <w:p>
      <w:pPr>
        <w:pStyle w:val="Heading2"/>
        <w:pBdr>
          <w:top w:val="single" w:sz="5" w:space="8" w:color="E2DCC9"/>
        </w:pBdr>
      </w:pPr>
      <w:r>
        <w:t>15.3 Website-Muster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Hero mit kurzer Kategorie, einer konkreten Aussage und einem CTA.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Problem nicht dramatisieren; betriebliche Konsequenz zeigen.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Systemlogik als Arrival Line oder Ledger.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Gründerperspektive nur mit belegten Fakten.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Partnerkategorien statt unbestätigter Logo-Wand.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Formulare erst nach Datenfluss-, Legal- und Hosting-Gate produktiv schalten.</w:t>
      </w:r>
    </w:p>
    <w:p>
      <w:pPr>
        <w:pStyle w:val="Heading2"/>
        <w:pBdr>
          <w:top w:val="single" w:sz="5" w:space="8" w:color="E2DCC9"/>
        </w:pBdr>
      </w:pPr>
      <w:r>
        <w:t>15.4 Social-Muster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Slide/Post 1: eine konkrete Beobachtung.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Slide/Post 2–4: Prozess, Entscheidung oder Checkliste.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Schluss: sachliche Frage oder nächster Schritt.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 generischer Motivationspost, keine erfundenen Kennzahlen, keine ungeprüfte Kundenreferenz.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Wiederverwendbare Komponenten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16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16.1 Editorial Header</w:t>
      </w:r>
    </w:p>
    <w:p>
      <w:r>
        <w:t>Bestandteile: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Eyebrow mit Artefakt-/Kapitelstatus;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aussagekräftige Überschrift;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1–2 Sätze Einordnung;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dünne Gold- oder Navy-Linie;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optional Datum/Quelle rechts.</w:t>
      </w:r>
    </w:p>
    <w:p>
      <w:pPr>
        <w:pStyle w:val="Heading2"/>
        <w:pBdr>
          <w:top w:val="single" w:sz="5" w:space="8" w:color="E2DCC9"/>
        </w:pBdr>
      </w:pPr>
      <w:r>
        <w:t>16.2 Evidence Strip</w:t>
      </w:r>
    </w:p>
    <w:p>
      <w:r>
        <w:t>Vier feste Statuswerte: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Heute vorhanden;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Lokaler/synthetischer Prototyp;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Geplant/MVP;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Produktiv noch nicht vorhanden.</w:t>
      </w:r>
    </w:p>
    <w:p>
      <w:r>
        <w:t>Farbe unterstützt, Text definiert.</w:t>
      </w:r>
    </w:p>
    <w:p>
      <w:pPr>
        <w:pStyle w:val="Heading2"/>
        <w:pBdr>
          <w:top w:val="single" w:sz="5" w:space="8" w:color="E2DCC9"/>
        </w:pBdr>
      </w:pPr>
      <w:r>
        <w:t>16.3 Decision Ledger</w:t>
      </w:r>
    </w:p>
    <w:p>
      <w:r>
        <w:t>Spalten beziehungsweise Zeilen: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Frage;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aktueller 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Verantwortliche Rolle;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benötigter Beleg/Freigabe;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nächster Schritt.</w:t>
      </w:r>
    </w:p>
    <w:p>
      <w:pPr>
        <w:pStyle w:val="Heading2"/>
        <w:pBdr>
          <w:top w:val="single" w:sz="5" w:space="8" w:color="E2DCC9"/>
        </w:pBdr>
      </w:pPr>
      <w:r>
        <w:t>16.4 Arrival Line</w:t>
      </w:r>
    </w:p>
    <w:p>
      <w:r>
        <w:t>Phasen:</w:t>
      </w:r>
    </w:p>
    <w:p>
      <w:r>
        <w:rPr>
          <w:rFonts w:ascii="Arial" w:hAnsi="Arial"/>
          <w:color w:val="7D6130"/>
          <w:sz w:val="19"/>
        </w:rPr>
        <w:t>Readiness → Arrival → Stabilisierung → Lerntransfer</w:t>
      </w:r>
    </w:p>
    <w:p>
      <w:r>
        <w:t>Je Phase maximal drei Kernpunkte und ein Gate.</w:t>
      </w:r>
    </w:p>
    <w:p>
      <w:pPr>
        <w:pStyle w:val="Heading2"/>
        <w:pBdr>
          <w:top w:val="single" w:sz="5" w:space="8" w:color="E2DCC9"/>
        </w:pBdr>
      </w:pPr>
      <w:r>
        <w:t>16.5 Role Boundary</w:t>
      </w:r>
    </w:p>
    <w:p>
      <w:r>
        <w:t>Zweispaltig: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sieht / entscheidet</w:t>
      </w:r>
      <w:r>
        <w:t>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sieht nicht / entscheidet nicht</w:t>
      </w:r>
      <w:r>
        <w:t>.</w:t>
      </w:r>
    </w:p>
    <w:p>
      <w:r>
        <w:t>Besonders für ACC, App, Partner- und Datenschutzkontexte.</w:t>
      </w:r>
    </w:p>
    <w:p>
      <w:pPr>
        <w:pStyle w:val="Heading2"/>
        <w:pBdr>
          <w:top w:val="single" w:sz="5" w:space="8" w:color="E2DCC9"/>
        </w:pBdr>
      </w:pPr>
      <w:r>
        <w:t>16.6 Source Note</w:t>
      </w:r>
    </w:p>
    <w:p>
      <w:r>
        <w:t>Format: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0B1F3A"/>
            <w:tcBorders>
              <w:start w:val="single" w:sz="18" w:color="C6A35A"/>
            </w:tcBorders>
            <w:tcMar>
              <w:top w:w="170" w:type="dxa"/>
              <w:start w:w="21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i/>
                <w:color w:val="F7F4EC"/>
                <w:sz w:val="22"/>
              </w:rPr>
              <w:t>Quelle: Dateiname oder offizielle URL · geprüft am TT.MM.JJJJ · Status: intern / öffentlich / Nachweis offen</w:t>
            </w:r>
          </w:p>
        </w:tc>
      </w:tr>
    </w:tbl>
    <w:p>
      <w:pPr>
        <w:spacing w:after="20"/>
      </w:pPr>
    </w:p>
    <w:p>
      <w:pPr>
        <w:pStyle w:val="Heading2"/>
        <w:pBdr>
          <w:top w:val="single" w:sz="5" w:space="8" w:color="E2DCC9"/>
        </w:pBdr>
      </w:pPr>
      <w:r>
        <w:t>16.7 CTA-Band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eine Entscheidung;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 primärer CTA;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optional ein sekundärer Informationsweg;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drei gleichgewichtigen Buttons.</w:t>
      </w: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Seiten- und Folienmuster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17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A4 Cover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Logo oben links oder in ruhiger Mitte;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30–40 % freie Fläche;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Dokumenttitel, Zielgruppe, Version, Datum, 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maximal eine kurze Leitzeile;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Stockgrafik als Füller.</w:t>
      </w:r>
    </w:p>
    <w:p>
      <w:pPr>
        <w:pStyle w:val="Heading2"/>
        <w:pBdr>
          <w:top w:val="single" w:sz="5" w:space="8" w:color="E2DCC9"/>
        </w:pBdr>
      </w:pPr>
      <w:r>
        <w:t>A4 Kapitel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Kapitelnummer/Label;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16–19 pt Aussageüberschrift;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kurzer Lead;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Haupttext plus Marginalie/Evidence Strip;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Quelle/Status unten.</w:t>
      </w:r>
    </w:p>
    <w:p>
      <w:pPr>
        <w:pStyle w:val="Heading2"/>
        <w:pBdr>
          <w:top w:val="single" w:sz="5" w:space="8" w:color="E2DCC9"/>
        </w:pBdr>
      </w:pPr>
      <w:r>
        <w:t>One-Pager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obere Zone: Thema, Zielgruppe, Datum/Status;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Mitte: 3–4 Entscheidungsblöcke oder ein Prozess;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unten: Grenzen, Annahmen, nächster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keine vollständigen Sätze in dichten 5-Spalten-Tabellen.</w:t>
      </w:r>
    </w:p>
    <w:p>
      <w:pPr>
        <w:pStyle w:val="Heading2"/>
        <w:pBdr>
          <w:top w:val="single" w:sz="5" w:space="8" w:color="E2DCC9"/>
        </w:pBdr>
      </w:pPr>
      <w:r>
        <w:t>Präsentationsfolie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Titel sagt die Aussage, nicht nur das Thema;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maximal ein Diagramm oder eine starke Textstruktur;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3–5 unterstützende Punkte;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Quellen-/Statuszeile;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Entscheidung oder Übergang am Fuß.</w:t>
      </w:r>
    </w:p>
    <w:p>
      <w:pPr>
        <w:pStyle w:val="Heading2"/>
        <w:pBdr>
          <w:top w:val="single" w:sz="5" w:space="8" w:color="E2DCC9"/>
        </w:pBdr>
      </w:pPr>
      <w:r>
        <w:t>App Screen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Rolle und Kontext erkennbar;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ein primärer nächster Schritt;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Status und Verantwortung sichtbar;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Detail über Sheet/Drilldown, nicht durch Textkompression;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Produktionsgrenzen nicht als unsichtbares Kleingedrucktes verstecken.</w:t>
      </w:r>
    </w:p>
    <w:p>
      <w:pPr>
        <w:spacing w:before="60" w:after="100"/>
        <w:pBdr>
          <w:bottom w:val="single" w:sz="8" w:space="5" w:color="C6A35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ANWENDUNG</w:t>
            </w:r>
          </w:p>
          <w:p>
            <w:pPr>
              <w:pStyle w:val="Heading1"/>
              <w:spacing w:after="0"/>
            </w:pPr>
            <w:r>
              <w:t>Dateibenennung und Versionierung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18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18.1 Schema</w:t>
      </w:r>
    </w:p>
    <w:p>
      <w:r>
        <w:rPr>
          <w:rFonts w:ascii="Arial" w:hAnsi="Arial"/>
          <w:color w:val="7D6130"/>
          <w:sz w:val="19"/>
        </w:rPr>
        <w:t>YYYYMMDD_AMAVIO_One_[Artefakt]_[Zielgruppe]_[Status]_Vx_y.ext</w:t>
      </w:r>
    </w:p>
    <w:p>
      <w:r>
        <w:t>Beispiele: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20260930_AMAVIO_One_Brandbook_Master_Arbeitsfassung_V1_0.docx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20261005_AMAVIO_One_Kundendeck_HR_Prueffassung_V2_1.pptx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20261012_AMAVIO_One_Foerderantrag_Anlage_Freigabefassung_V1_0.pdf</w:t>
      </w:r>
    </w:p>
    <w:p>
      <w:pPr>
        <w:pStyle w:val="Heading2"/>
        <w:pBdr>
          <w:top w:val="single" w:sz="5" w:space="8" w:color="E2DCC9"/>
        </w:pBdr>
      </w:pPr>
      <w:r>
        <w:t>18.2 Statusvokabular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Status</w:t>
            </w:r>
          </w:p>
        </w:tc>
        <w:tc>
          <w:tcPr>
            <w:tcW w:type="dxa" w:w="4932"/>
            <w:shd w:fill="08152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/>
              <w:start w:val="nil"/>
              <w:end w:val="nil"/>
              <w:bottom w:val="single" w:sz="10" w:color="C6A35A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7F4EC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Entwurf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inhaltlich offen, nicht reviewt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Arbeitsfassung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intern nutzbar, offene Gates sichtbar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Prüffassung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gezielter Review vorgesehen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Freigabefassung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für konkrete Freigabe vorbereitet, noch nicht freigegeben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FINAL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nach dokumentierter Freigabe für genau diesen Zweck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VERÖFFENTLICHT / VERSENDET / EINGEREICHT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shd w:fill="F7F4EC"/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nur nach tatsächlich beobachteter Aktion; ersetzt keine Empfangs-/Ergebnisbestätigung</w:t>
            </w:r>
          </w:p>
        </w:tc>
      </w:tr>
      <w:tr>
        <w:trPr>
          <w:cantSplit/>
        </w:trPr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</w:rPr>
            </w:r>
            <w:r>
              <w:rPr>
                <w:color w:val="222222"/>
                <w:sz w:val="16"/>
              </w:rPr>
              <w:t>ZURÜCKGEZOGEN / NICHT VERWENDEN</w:t>
            </w:r>
          </w:p>
        </w:tc>
        <w:tc>
          <w:tcPr>
            <w:tcW w:type="dxa" w:w="4932"/>
            <w:tcMar>
              <w:top w:w="76" w:type="dxa"/>
              <w:start w:w="110" w:type="dxa"/>
              <w:bottom w:w="76" w:type="dxa"/>
              <w:end w:w="110" w:type="dxa"/>
            </w:tcMar>
            <w:tcBorders>
              <w:top w:val="nil"/>
              <w:start w:val="nil"/>
              <w:end w:val="nil"/>
              <w:bottom w:val="single" w:sz="4" w:color="E2DCC9"/>
            </w:tcBorders>
            <w:vAlign w:val="center"/>
          </w:tcPr>
          <w:p>
            <w:pPr>
              <w:spacing w:after="0"/>
            </w:pPr>
            <w:r/>
            <w:r>
              <w:rPr>
                <w:color w:val="222222"/>
                <w:sz w:val="16"/>
              </w:rPr>
              <w:t>sichtbar markieren und archivieren, nicht löschen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7D6130"/>
          <w:sz w:val="19"/>
        </w:rPr>
        <w:t>final_final</w:t>
      </w:r>
      <w:r>
        <w:t xml:space="preserve">, </w:t>
      </w:r>
      <w:r>
        <w:rPr>
          <w:rFonts w:ascii="Arial" w:hAnsi="Arial"/>
          <w:color w:val="7D6130"/>
          <w:sz w:val="19"/>
        </w:rPr>
        <w:t>neu</w:t>
      </w:r>
      <w:r>
        <w:t xml:space="preserve">, </w:t>
      </w:r>
      <w:r>
        <w:rPr>
          <w:rFonts w:ascii="Arial" w:hAnsi="Arial"/>
          <w:color w:val="7D6130"/>
          <w:sz w:val="19"/>
        </w:rPr>
        <w:t>letzte Version</w:t>
      </w:r>
      <w:r>
        <w:t xml:space="preserve">, </w:t>
      </w:r>
      <w:r>
        <w:rPr>
          <w:rFonts w:ascii="Arial" w:hAnsi="Arial"/>
          <w:color w:val="7D6130"/>
          <w:sz w:val="19"/>
        </w:rPr>
        <w:t>wirklich final</w:t>
      </w:r>
      <w:r>
        <w:t xml:space="preserve"> und undatierte Kopien sind unzulässig.</w:t>
      </w:r>
    </w:p>
    <w:p>
      <w:pPr>
        <w:pStyle w:val="Heading2"/>
        <w:pBdr>
          <w:top w:val="single" w:sz="5" w:space="8" w:color="E2DCC9"/>
        </w:pBdr>
      </w:pPr>
      <w:r>
        <w:t>18.3 Originalschutz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bestehende freigegebene Master nicht überschreiben;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vor materieller Änderung datierte Arbeitskopie;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alte Stände archivieren statt löschen;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berührte und unberührte Bereiche in QA dokumentieren.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GOVERNANCE</w:t>
            </w:r>
          </w:p>
          <w:p>
            <w:pPr>
              <w:pStyle w:val="Heading1"/>
              <w:spacing w:after="0"/>
            </w:pPr>
            <w:r>
              <w:t>Quellenführung und Release-Governance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19</w:t>
            </w:r>
          </w:p>
        </w:tc>
      </w:tr>
    </w:tbl>
    <w:p>
      <w:pPr>
        <w:pStyle w:val="Heading2"/>
        <w:pBdr>
          <w:top w:val="single" w:sz="5" w:space="8" w:color="E2DCC9"/>
        </w:pBdr>
      </w:pPr>
      <w:r>
        <w:t>19.1 Claim-Status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PUBLIC CONFIRMED</w:t>
      </w:r>
      <w:r>
        <w:t xml:space="preserve"> – extern belegbar und für den Zweck bestätigt;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PUBLIC RECOMMENDED</w:t>
      </w:r>
      <w:r>
        <w:t xml:space="preserve"> – empfohlen, aber Founder-/Artefaktfreigabe offen;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INTERNAL ONLY</w:t>
      </w:r>
      <w:r>
        <w:t xml:space="preserve"> – interne Steuerung, nicht nach außen;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PROOF REQUIRED</w:t>
      </w:r>
      <w:r>
        <w:t xml:space="preserve"> – Beleg fehlt oder ist zu schwach;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LEGAL ONLY</w:t>
      </w:r>
      <w:r>
        <w:t xml:space="preserve"> – nur in rechtlich zuständiger Schicht;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EXCLUDE</w:t>
      </w:r>
      <w:r>
        <w:t xml:space="preserve"> – aktuell nicht verwenden.</w:t>
      </w:r>
    </w:p>
    <w:p>
      <w:pPr>
        <w:pStyle w:val="Heading2"/>
        <w:pBdr>
          <w:top w:val="single" w:sz="5" w:space="8" w:color="E2DCC9"/>
        </w:pBdr>
      </w:pPr>
      <w:r>
        <w:t>19.2 Release-Pfad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01  </w:t>
      </w:r>
      <w:r>
        <w:t>Zielgruppe, Zweck und Kanal festlegen.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02  </w:t>
      </w:r>
      <w:r>
        <w:t>aktuelle Führungsquelle und Version öffnen.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03  </w:t>
      </w:r>
      <w:r>
        <w:t>Claims atomisieren und Status vergeben.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04  </w:t>
      </w:r>
      <w:r>
        <w:t>Produktreife, Naming, Preise, Rechte und Datenschutz prüfen.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05  </w:t>
      </w:r>
      <w:r>
        <w:t>Brandbook anwenden; keine Layoutlösung gegen Inhaltswahrheit.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06  </w:t>
      </w:r>
      <w:r>
        <w:t>Fachreview und Founder Gates dokumentieren.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07  </w:t>
      </w:r>
      <w:r>
        <w:t>DOCX/PPTX/PDF beziehungsweise Web/App technisch und visuell prüfen.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08  </w:t>
      </w:r>
      <w:r>
        <w:t>konkrete Freigabe für das einzelne Artefakt dokumentieren.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09  </w:t>
      </w:r>
      <w:r>
        <w:t>erst danach veröffentlichen, versenden, hochladen oder deployen.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10  </w:t>
      </w:r>
      <w:r>
        <w:t>Release-Log und Quellenstand sichern.</w:t>
      </w:r>
    </w:p>
    <w:p>
      <w:pPr>
        <w:pStyle w:val="Heading2"/>
        <w:pBdr>
          <w:top w:val="single" w:sz="5" w:space="8" w:color="E2DCC9"/>
        </w:pBdr>
      </w:pPr>
      <w:r>
        <w:t>19.3 Pflichtfelder im Release-Log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Artefaktname, Version, Datum;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Zielgruppe und Kanal;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verwendete Führungsquellen;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Claim-IDs beziehungsweise zentrale Aussagen;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entfernte oder zurückgestellte Claims;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Reviewer und Founder-Entscheid;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Legal/Privacy/Product/Finance/Funding-Gates;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Datei-QA, Render-QA und Link-/Form-QA;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tatsächlicher Ausgabestatus.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GOVERNANCE</w:t>
            </w:r>
          </w:p>
          <w:p>
            <w:pPr>
              <w:pStyle w:val="Heading1"/>
              <w:spacing w:after="0"/>
            </w:pPr>
            <w:r>
              <w:t>Founder Gates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20</w:t>
            </w:r>
          </w:p>
        </w:tc>
      </w:tr>
    </w:tbl>
    <w:p>
      <w:pPr>
        <w:pStyle w:val="AMAVIOLead"/>
      </w:pPr>
      <w:r>
        <w:rPr>
          <w:sz w:val="22"/>
        </w:rPr>
        <w:t>Diese Arbeitsfassung bleibt nutzbar. Vor endgültiger oder externer Festlegung sind folgende Entscheidungen zu schließen: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01  </w:t>
      </w:r>
      <w:r>
        <w:rPr>
          <w:rFonts w:ascii="Arial" w:hAnsi="Arial"/>
          <w:color w:val="7D6130"/>
          <w:sz w:val="19"/>
        </w:rPr>
        <w:t>AMAVIO Living</w:t>
      </w:r>
      <w:r>
        <w:t xml:space="preserve"> als offizielles Modul bestätigen oder aus der Außenkommunikation entfernen.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02  </w:t>
      </w:r>
      <w:r>
        <w:t xml:space="preserve">Rechtsträger-, Firmierungs- und Markenrechtslage für </w:t>
      </w:r>
      <w:r>
        <w:rPr>
          <w:rFonts w:ascii="Arial" w:hAnsi="Arial"/>
          <w:color w:val="7D6130"/>
          <w:sz w:val="19"/>
        </w:rPr>
        <w:t>AMAVIO One</w:t>
      </w:r>
      <w:r>
        <w:t xml:space="preserve"> final bestätigen.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03  </w:t>
      </w:r>
      <w:r>
        <w:t xml:space="preserve">führenden öffentlichen Claim auswählen; Arbeitsvorschlag: </w:t>
      </w:r>
      <w:r>
        <w:rPr>
          <w:rFonts w:ascii="Arial" w:hAnsi="Arial"/>
          <w:color w:val="7D6130"/>
          <w:sz w:val="19"/>
        </w:rPr>
        <w:t>Ankunft steuerbar machen.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04  </w:t>
      </w:r>
      <w:r>
        <w:t>vorhandene SVG-Logoassets final freigeben beziehungsweise eine pfadbasierte Reinzeichnung beauftragen.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05  </w:t>
      </w:r>
      <w:r>
        <w:t xml:space="preserve">öffentlichen Status von </w:t>
      </w:r>
      <w:r>
        <w:rPr>
          <w:rFonts w:ascii="Arial" w:hAnsi="Arial"/>
          <w:color w:val="7D6130"/>
          <w:sz w:val="19"/>
        </w:rPr>
        <w:t>Executive Living</w:t>
      </w:r>
      <w:r>
        <w:t xml:space="preserve"> festlegen.</w:t>
      </w:r>
    </w:p>
    <w:p>
      <w:pPr>
        <w:spacing w:after="48"/>
        <w:ind w:left="351" w:hanging="238"/>
      </w:pPr>
      <w:r>
        <w:rPr>
          <w:rFonts w:ascii="Arial" w:hAnsi="Arial"/>
          <w:b/>
          <w:color w:val="7D6130"/>
        </w:rPr>
        <w:t xml:space="preserve">06  </w:t>
      </w:r>
      <w:r>
        <w:t>Geist/Fraunces als dauerhafte Digitalschriften lizenz- und kanalübergreifend bestätigen.</w:t>
      </w:r>
    </w:p>
    <w:p>
      <w:r>
        <w:t>Offene Gates dürfen nicht durch stillschweigende Annahmen in einzelnen Artefakten geschlossen werden.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GOVERNANCE</w:t>
            </w:r>
          </w:p>
          <w:p>
            <w:pPr>
              <w:pStyle w:val="Heading1"/>
              <w:spacing w:after="0"/>
            </w:pPr>
            <w:r>
              <w:t>Brand-Compliance-Checkliste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21</w:t>
            </w:r>
          </w:p>
        </w:tc>
      </w:tr>
    </w:tbl>
    <w:p>
      <w:pPr>
        <w:pStyle w:val="AMAVIOLead"/>
      </w:pPr>
      <w:r>
        <w:rPr>
          <w:sz w:val="22"/>
        </w:rPr>
        <w:t>Vor jeder finalen AMAVIO-Datei: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AMAVIO One ist Dach- und Absendermarke; ältere Naming-Spuren sind erklärt oder entfernt.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heutige Leistung, Demo, lokaler Prototyp, MVP und produktiver Betrieb sind getrennt.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ACC und AMAVIO One App sind nicht vermischt.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keine Personal-/Wohnungsvermittlung oder regulierte Fachleistung wird behauptet.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keine Wohnraum-, Visa-, Anerkennungs-, Förder-, Wirkungs- oder Bindungsgarantie.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Claims, Kunden, Partner, Zahlen und Wirkungen haben eine aktuelle Quelle und passenden Status.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nur vorhandene, freigegebene Logoassets; Schutzraum, Hintergrund und Mindestgröße stimmen.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Navy/Gold/Creme führt; Statusblau/Coral sind nur funktional.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Kontrast, Tastaturfokus, Reduced Motion und sinnvolle Alternativtexte sind berücksichtigt.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Typografie ist kanalgeeignet; keine kritische Information in Mini-Schrift.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Layout hat klare Hierarchie, genug Weißraum und keine Karten-/Tabellenüberladung.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Quellen, Datum, Version und Freigabestatus sind sichtbar.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Dateiname und Statusvokabular entsprechen der Governance.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DOCX/PPTX/PDF öffnet; A4/Seitenformat, Textauszug und Seitenzahl sind geprüft.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relevante Seiten wurden gerendert und visuell kontrolliert.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keine Platzhalter, Produktionshinweise, internen Pfade, Kommentare oder Toolspuren.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t>[ ] externe Aktion ist separat freigegeben und tatsächlich dokumentiert.</w:t>
      </w:r>
    </w:p>
    <w:p>
      <w:pPr>
        <w:spacing w:before="60" w:after="100"/>
        <w:pBdr>
          <w:bottom w:val="single" w:sz="8" w:space="5" w:color="C6A35A"/>
        </w:pBdr>
      </w:pP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8220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80"/>
            </w:pPr>
            <w:r>
              <w:rPr>
                <w:rFonts w:ascii="Arial" w:hAnsi="Arial"/>
                <w:b/>
                <w:color w:val="7D6130"/>
                <w:sz w:val="14"/>
              </w:rPr>
              <w:t>GOVERNANCE</w:t>
            </w:r>
          </w:p>
          <w:p>
            <w:pPr>
              <w:pStyle w:val="Heading1"/>
              <w:spacing w:after="0"/>
            </w:pPr>
            <w:r>
              <w:t>Quellenstand</w:t>
            </w:r>
          </w:p>
        </w:tc>
        <w:tc>
          <w:tcPr>
            <w:tcW w:type="dxa" w:w="1474"/>
            <w:tcBorders>
              <w:top w:val="nil"/>
              <w:start w:val="nil"/>
              <w:end w:val="nil"/>
              <w:bottom w:val="single" w:sz="10" w:color="C6A35A"/>
            </w:tcBorders>
            <w:tcMar>
              <w:top w:w="0" w:type="dxa"/>
              <w:start w:w="0" w:type="dxa"/>
              <w:bottom w:w="110" w:type="dxa"/>
              <w:end w:w="0" w:type="dxa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Georgia" w:hAnsi="Georgia"/>
                <w:color w:val="9C7D3F"/>
                <w:sz w:val="60"/>
              </w:rPr>
              <w:t>22</w:t>
            </w:r>
          </w:p>
        </w:tc>
      </w:tr>
    </w:tbl>
    <w:p>
      <w:pPr>
        <w:pStyle w:val="AMAVIOLead"/>
      </w:pPr>
      <w:r>
        <w:rPr>
          <w:sz w:val="22"/>
        </w:rPr>
        <w:t>Führende und unmittelbar verwendete Quellen: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00_START_HIER/AMAVIO_Zentrale_3_20260929/AMAVIO_One_Product_Truth_V1_Arbeitsmaster_20260930.md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09_Unternehmenssystem/03_Strategy_Playbooks/13_AMAVIO_One_Brand_Content_Public_Claims_Playbook_V1_Arbeitsfassung_20260910.md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09_Unternehmenssystem/01_Commercial_Source_of_Truth/01_AMAVIO_One_Unternehmensprofil_Master_V2_Arbeitsfassung_20260907.md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08_Website/amavio-living-site/index.html</w:t>
      </w:r>
      <w:r>
        <w:t xml:space="preserve">, aktive Hauptseiten, </w:t>
      </w:r>
      <w:r>
        <w:rPr>
          <w:rFonts w:ascii="Arial" w:hAnsi="Arial"/>
          <w:color w:val="7D6130"/>
          <w:sz w:val="19"/>
        </w:rPr>
        <w:t>v14-shared.css</w:t>
      </w:r>
      <w:r>
        <w:t xml:space="preserve">, </w:t>
      </w:r>
      <w:r>
        <w:rPr>
          <w:rFonts w:ascii="Arial" w:hAnsi="Arial"/>
          <w:color w:val="7D6130"/>
          <w:sz w:val="19"/>
        </w:rPr>
        <w:t>assets/v14-fonts/fonts.css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08_Website/amavio-living-site/assets/brand/*.svg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09_App/20260930_AMAVIO_One_App_Prototype_V2_3_Working/docs/DESIGN_SYSTEM.md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09_App/20260930_AMAVIO_One_App_Prototype_V2_3_Working/docs/PRODUCT_BOUNDARY.md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09_App/20260930_AMAVIO_One_App_Prototype_V2_3_Working/src/styles.css</w:t>
      </w:r>
      <w:r>
        <w:t xml:space="preserve"> und </w:t>
      </w:r>
      <w:r>
        <w:rPr>
          <w:rFonts w:ascii="Arial" w:hAnsi="Arial"/>
          <w:color w:val="7D6130"/>
          <w:sz w:val="19"/>
        </w:rPr>
        <w:t>src/v2.css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08_Website/brand/AMAVIO_Brandbook_20260826/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08_Website/brand/AMAVIO_BRAND_SYSTEM_DECISION_20260820.md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08_Website/brand/AMAVIO_MAIN_BRANDING_20260819.md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08_Website/brand/AMAVIO_PREMIUM_WEBSITE_DIRECTION_20260819.md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90_QA/AMAVIO_One_Businessplan_Designfix_Matrix_Typografie_QA_20260904.md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90_QA/20260904_AMAVIO_One_Website_Rebrand_Check.md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90_QA/20260905_AMAVIO_One_V14_Medien_Motion_Brand_QA.md</w:t>
      </w:r>
    </w:p>
    <w:p>
      <w:pPr>
        <w:spacing w:after="48"/>
        <w:ind w:left="312" w:hanging="181"/>
      </w:pPr>
      <w:r>
        <w:rPr>
          <w:rFonts w:ascii="Arial" w:hAnsi="Arial"/>
          <w:b/>
          <w:color w:val="9C7D3F"/>
        </w:rPr>
        <w:t xml:space="preserve">—  </w:t>
      </w:r>
      <w:r>
        <w:rPr>
          <w:rFonts w:ascii="Arial" w:hAnsi="Arial"/>
          <w:color w:val="7D6130"/>
          <w:sz w:val="19"/>
        </w:rPr>
        <w:t>.agents/skills/amavio-document-design-system/</w:t>
      </w:r>
      <w:r>
        <w:t xml:space="preserve"> und </w:t>
      </w:r>
      <w:r>
        <w:rPr>
          <w:rFonts w:ascii="Arial" w:hAnsi="Arial"/>
          <w:color w:val="7D6130"/>
          <w:sz w:val="19"/>
        </w:rPr>
        <w:t>.agents/skills/amavio-document-qa/</w:t>
      </w:r>
    </w:p>
    <w:p>
      <w:pPr>
        <w:pStyle w:val="Heading2"/>
        <w:pBdr>
          <w:top w:val="single" w:sz="5" w:space="8" w:color="E2DCC9"/>
        </w:pBdr>
      </w:pPr>
      <w:r>
        <w:t>Schlussvermerk</w:t>
      </w:r>
    </w:p>
    <w:p>
      <w:r>
        <w:t xml:space="preserve">Dieses Dokument ist die </w:t>
      </w:r>
      <w:r>
        <w:rPr>
          <w:b/>
        </w:rPr>
        <w:t>AMAVIO One Brandbook Master-Arbeitsfassung vom 30.09.2026</w:t>
      </w:r>
      <w:r>
        <w:t>. Es konsolidiert den lokalen Quellenstand, markiert echte Founder Gates und schafft eine belastbare Produktionsgrundlage. Es ist weder Veröffentlichung noch finale Marken-, Rechts- oder Produktfreigabe.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907" w:right="935" w:bottom="879" w:left="1106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80" w:val="right"/>
      </w:tabs>
      <w:spacing w:before="0"/>
      <w:jc w:val="left"/>
      <w:pBdr>
        <w:top w:val="single" w:sz="5" w:space="4" w:color="E2DCC9"/>
      </w:pBdr>
    </w:pPr>
    <w:r>
      <w:rPr>
        <w:rFonts w:ascii="Arial" w:hAnsi="Arial"/>
        <w:color w:val="6F7680"/>
        <w:sz w:val="14"/>
      </w:rPr>
      <w:t>MASTER-ARBEITSFASSUNG · DESIGNVEREDELUNG · 30.09.2026</w:t>
    </w:r>
    <w:r>
      <w:rPr>
        <w:rFonts w:ascii="Arial" w:hAnsi="Arial"/>
        <w:color w:val="6F7680"/>
        <w:sz w:val="14"/>
      </w:rPr>
      <w:tab/>
    </w:r>
    <w:r>
      <w:rPr>
        <w:rFonts w:ascii="Arial" w:hAnsi="Arial"/>
        <w:color w:val="6F768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80" w:val="right"/>
      </w:tabs>
      <w:spacing w:after="0"/>
      <w:jc w:val="left"/>
      <w:pBdr>
        <w:bottom w:val="single" w:sz="5" w:space="4" w:color="E2DCC9"/>
      </w:pBdr>
    </w:pPr>
    <w:r>
      <w:rPr>
        <w:rFonts w:ascii="Arial" w:hAnsi="Arial"/>
        <w:b/>
        <w:color w:val="7D6130"/>
        <w:sz w:val="14"/>
      </w:rPr>
      <w:t>AMAVIO ONE</w:t>
    </w:r>
    <w:r>
      <w:rPr>
        <w:rFonts w:ascii="Arial" w:hAnsi="Arial"/>
        <w:b/>
        <w:color w:val="6F7680"/>
        <w:sz w:val="14"/>
      </w:rPr>
      <w:tab/>
      <w:t>BRAND SYSTEM · MASTER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0B1F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7D61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/>
      <w:color w:val="222222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2" w:hanging="142"/>
      <w:contextualSpacing/>
    </w:pPr>
    <w:rPr>
      <w:rFonts w:ascii="Arial" w:hAnsi="Arial"/>
      <w:color w:val="222222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MAVIOLead">
    <w:name w:val="AMAVIO Lead"/>
    <w:pPr>
      <w:spacing w:after="200" w:line="302" w:lineRule="auto"/>
    </w:pPr>
    <w:rPr>
      <w:rFonts w:ascii="Georgia" w:hAnsi="Georgia"/>
      <w:color w:val="0B1F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AMAVIO One Brandbook Master V2 Designveredelung 2026-09-30</dc:title>
  <dc:subject>AMAVIO One Design-, Sprach- und Kommunikationssystem</dc:subject>
  <dc:creator>AMAVIO One</dc:creator>
  <cp:keywords>AMAVIO One, Brandbook, Design System, Working Draft</cp:keywords>
  <dc:description>V2 Designveredelung auf inhaltsgleichem Master; interne Arbeitsfassung; externe Freigabe und Founder Gates offen.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