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4082"/>
      </w:tblGrid>
      <w:tr>
        <w:tc>
          <w:tcPr>
            <w:tcW w:type="dxa" w:w="51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 w:eastAsia="Arial"/>
                <w:b/>
                <w:color w:val="102A33"/>
                <w:sz w:val="26"/>
              </w:rPr>
              <w:t>AMAVIO</w:t>
            </w:r>
            <w:r>
              <w:rPr>
                <w:rFonts w:ascii="Arial" w:hAnsi="Arial" w:eastAsia="Arial"/>
                <w:b w:val="0"/>
                <w:color w:val="12636A"/>
                <w:sz w:val="16"/>
              </w:rPr>
              <w:t xml:space="preserve"> One</w:t>
            </w:r>
          </w:p>
        </w:tc>
        <w:tc>
          <w:tcPr>
            <w:tcW w:type="dxa" w:w="51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B78A5A"/>
                <w:sz w:val="14"/>
              </w:rPr>
              <w:t>ARBEITGEBERKONTAKT</w:t>
            </w:r>
            <w:r>
              <w:br/>
            </w:r>
            <w:r>
              <w:rPr>
                <w:rFonts w:ascii="Arial" w:hAnsi="Arial" w:eastAsia="Arial"/>
                <w:b w:val="0"/>
                <w:color w:val="12636A"/>
                <w:sz w:val="14"/>
              </w:rPr>
              <w:t>08.09.2026</w:t>
            </w:r>
          </w:p>
        </w:tc>
      </w:tr>
    </w:tbl>
    <w:p>
      <w:pPr>
        <w:spacing w:after="40" w:before="140"/>
        <w:jc w:val="left"/>
      </w:pPr>
      <w:r>
        <w:rPr>
          <w:rFonts w:ascii="Arial" w:hAnsi="Arial" w:eastAsia="Arial"/>
          <w:b/>
          <w:color w:val="12636A"/>
          <w:sz w:val="16"/>
        </w:rPr>
        <w:t>ARBEITGEBERSEITIGES ARRIVAL MANAGEMENT</w:t>
      </w:r>
    </w:p>
    <w:p>
      <w:pPr>
        <w:spacing w:after="20" w:before="0"/>
        <w:jc w:val="left"/>
      </w:pPr>
      <w:r>
        <w:rPr>
          <w:rFonts w:ascii="Arial" w:hAnsi="Arial" w:eastAsia="Arial"/>
          <w:b/>
          <w:color w:val="102A33"/>
          <w:sz w:val="46"/>
        </w:rPr>
        <w:t>Die Arbeitgeberfunktion nach der Zusage</w:t>
      </w:r>
    </w:p>
    <w:p>
      <w:pPr>
        <w:spacing w:after="100" w:before="0"/>
        <w:jc w:val="left"/>
      </w:pPr>
      <w:r>
        <w:rPr>
          <w:rFonts w:ascii="Arial" w:hAnsi="Arial" w:eastAsia="Arial"/>
          <w:b w:val="0"/>
          <w:color w:val="12636A"/>
          <w:sz w:val="20"/>
        </w:rPr>
        <w:t>Nach der Recruiting-Zusage beginnt die operative Strecke: Wohnen, Ankunft, Alltag, Rollen, Partner und Freigaben müssen zusammenpassen.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D8D2C8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6FD7C0"/>
                <w:sz w:val="14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102A33"/>
                <w:sz w:val="18"/>
              </w:rPr>
              <w:t>Zusage</w:t>
            </w:r>
          </w:p>
        </w:tc>
        <w:tc>
          <w:tcPr>
            <w:tcW w:type="dxa" w:w="25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B78A5A"/>
                <w:sz w:val="14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102A33"/>
                <w:sz w:val="18"/>
              </w:rPr>
              <w:t>Ankunft</w:t>
            </w:r>
          </w:p>
        </w:tc>
        <w:tc>
          <w:tcPr>
            <w:tcW w:type="dxa" w:w="25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B78A5A"/>
                <w:sz w:val="14"/>
              </w:rPr>
              <w:t>03</w:t>
            </w:r>
            <w:r>
              <w:br/>
            </w:r>
            <w:r>
              <w:rPr>
                <w:rFonts w:ascii="Arial" w:hAnsi="Arial" w:eastAsia="Arial"/>
                <w:b/>
                <w:color w:val="102A33"/>
                <w:sz w:val="18"/>
              </w:rPr>
              <w:t>erste Wochen</w:t>
            </w:r>
          </w:p>
        </w:tc>
        <w:tc>
          <w:tcPr>
            <w:tcW w:type="dxa" w:w="25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B78A5A"/>
                <w:sz w:val="14"/>
              </w:rPr>
              <w:t>04</w:t>
            </w:r>
            <w:r>
              <w:br/>
            </w:r>
            <w:r>
              <w:rPr>
                <w:rFonts w:ascii="Arial" w:hAnsi="Arial" w:eastAsia="Arial"/>
                <w:b/>
                <w:color w:val="102A33"/>
                <w:sz w:val="18"/>
              </w:rPr>
              <w:t>stabiler Start</w:t>
            </w:r>
          </w:p>
        </w:tc>
      </w:tr>
    </w:tbl>
    <w:p>
      <w:pPr>
        <w:spacing w:after="20" w:before="0"/>
        <w:jc w:val="left"/>
      </w:pPr>
      <w:r>
        <w:rPr>
          <w:rFonts w:ascii="Arial" w:hAnsi="Arial" w:eastAsia="Arial"/>
          <w:b w:val="0"/>
          <w:color w:val="102A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8"/>
              </w:rPr>
              <w:t>WORUM ES GEHT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Nach der Zusage laufen Wohn-, Anreise- und Startfragen parallel.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HR, Standort und externe Stellen arbeiten mit verschiedenen Informationsständen.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Risiken werden sichtbar, bevor sie zu späten Freigaben werden.</w:t>
            </w:r>
          </w:p>
        </w:tc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8"/>
              </w:rPr>
              <w:t>WAS AMAVIO LIEFERT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Managed Arrival Service mit persönlicher Prozessführung.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Arrival Control Pilot für konkrete Standorte oder Kohorten.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Stabilisierungs-Monitoring für die ersten Monate und den Transfer.</w:t>
            </w:r>
          </w:p>
        </w:tc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8"/>
              </w:rPr>
              <w:t>HEUTE KAUFBAR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Standort-Readiness ab 5.900 EUR netto.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Arrival Control Pilot ab 18.500 EUR netto.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Stabilisierungs-Monitoring ab 2.900 EUR pro Monat.</w:t>
            </w:r>
          </w:p>
        </w:tc>
      </w:tr>
    </w:tbl>
    <w:p>
      <w:pPr>
        <w:spacing w:after="0" w:before="0"/>
        <w:jc w:val="left"/>
      </w:pPr>
      <w:r>
        <w:rPr>
          <w:rFonts w:ascii="Arial" w:hAnsi="Arial" w:eastAsia="Arial"/>
          <w:b w:val="0"/>
          <w:color w:val="102A33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1ECE4"/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8"/>
              </w:rPr>
              <w:t>KLARE GRENZEN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keine Personalvermittlung und keine Maklerleistung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keine Rechts-, Steuer-, Visa-, Anerkennungs- oder Förderberatung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keine Wohnraum-, Bindungs- oder Erfolgsgarantie</w:t>
            </w:r>
          </w:p>
        </w:tc>
        <w:tc>
          <w:tcPr>
            <w:tcW w:type="dxa" w:w="515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1ECE4"/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8"/>
              </w:rPr>
              <w:t>PRODUKTSTATUS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Service-led today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Arrival Control Center als Demo und Arbeitsansicht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color w:val="B78A5A"/>
                <w:sz w:val="16"/>
              </w:rPr>
              <w:t xml:space="preserve">• </w:t>
            </w:r>
            <w:r>
              <w:rPr>
                <w:rFonts w:ascii="Arial" w:hAnsi="Arial" w:eastAsia="Arial"/>
                <w:b w:val="0"/>
                <w:color w:val="102A33"/>
                <w:sz w:val="16"/>
              </w:rPr>
              <w:t>Plattform / App transparent als Entwicklung und Roadmap</w:t>
            </w:r>
          </w:p>
        </w:tc>
      </w:tr>
    </w:tbl>
    <w:p>
      <w:pPr>
        <w:spacing w:after="0" w:before="0"/>
        <w:jc w:val="left"/>
      </w:pPr>
      <w:r>
        <w:rPr>
          <w:rFonts w:ascii="Arial" w:hAnsi="Arial" w:eastAsia="Arial"/>
          <w:b w:val="0"/>
          <w:color w:val="102A33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07191D"/>
            <w:vAlign w:val="center"/>
          </w:tcPr>
          <w:p>
            <w:pPr>
              <w:ind w:left="142" w:right="142"/>
            </w:pPr>
            <w:r>
              <w:rPr>
                <w:rFonts w:ascii="Arial" w:hAnsi="Arial" w:eastAsia="Arial"/>
                <w:b/>
                <w:color w:val="F5F0E7"/>
                <w:sz w:val="20"/>
              </w:rPr>
              <w:t>NÄCHSTER SCHRITT: Standortgespräch</w:t>
            </w:r>
            <w:r>
              <w:br/>
            </w:r>
            <w:r>
              <w:rPr>
                <w:rFonts w:ascii="Arial" w:hAnsi="Arial" w:eastAsia="Arial"/>
                <w:b w:val="0"/>
                <w:color w:val="F5F0E7"/>
                <w:sz w:val="16"/>
              </w:rPr>
              <w:t>30 Minuten mit Startanlass, Standort, Kohorte und Zuständigkeiten. Danach ist sichtbar, ob Readiness, Pilot oder Monitoring der passende Einstieg ist.</w:t>
            </w:r>
          </w:p>
        </w:tc>
      </w:tr>
    </w:tbl>
    <w:p>
      <w:pPr>
        <w:spacing w:after="0" w:before="0"/>
        <w:jc w:val="left"/>
      </w:pPr>
      <w:r>
        <w:rPr>
          <w:rFonts w:ascii="Arial" w:hAnsi="Arial" w:eastAsia="Arial"/>
          <w:b w:val="0"/>
          <w:color w:val="102A33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6"/>
              </w:rPr>
              <w:t>01 | STARTANLASS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02A33"/>
                <w:sz w:val="16"/>
              </w:rPr>
              <w:t>Was startet wann und für welchen Standort?</w:t>
            </w:r>
          </w:p>
        </w:tc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6"/>
              </w:rPr>
              <w:t>02 | VERANTWORTUNG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02A33"/>
                <w:sz w:val="16"/>
              </w:rPr>
              <w:t>Wer entscheidet, informiert und führt aus?</w:t>
            </w:r>
          </w:p>
        </w:tc>
        <w:tc>
          <w:tcPr>
            <w:tcW w:type="dxa" w:w="344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 w:eastAsia="Arial"/>
                <w:b/>
                <w:color w:val="12636A"/>
                <w:sz w:val="16"/>
              </w:rPr>
              <w:t>03 | ENTSCHEIDUNG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02A33"/>
                <w:sz w:val="16"/>
              </w:rPr>
              <w:t>Welcher Einstieg passt: Readiness, Pilot oder Monitoring?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color w:val="12636A"/>
          <w:sz w:val="14"/>
        </w:rPr>
        <w:t>AMAVIO One | Arbeitgeberseitiges Arrival Management | keine regulierte Fachberatung</w:t>
      </w:r>
    </w:p>
    <w:sectPr w:rsidR="00FC693F" w:rsidRPr="0006063C" w:rsidSect="00034616">
      <w:pgSz w:w="11906" w:h="16838"/>
      <w:pgMar w:top="652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