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420"/>
      </w:tblGrid>
      <w:tr>
        <w:tc>
          <w:tcPr>
            <w:tcW w:type="dxa" w:w="15420"/>
            <w:shd w:fill="4FD6B8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after="20"/>
      </w:pPr>
      <w:r>
        <w:rPr>
          <w:rFonts w:ascii="Aptos Display" w:hAnsi="Aptos Display"/>
          <w:b/>
          <w:color w:val="101414"/>
          <w:sz w:val="42"/>
        </w:rPr>
        <w:t>AMAVIO One</w:t>
      </w:r>
      <w:r>
        <w:rPr>
          <w:rFonts w:ascii="Aptos" w:hAnsi="Aptos"/>
          <w:color w:val="155B5D"/>
          <w:sz w:val="24"/>
        </w:rPr>
        <w:t xml:space="preserve">  |  Business Model Canvas</w:t>
      </w:r>
    </w:p>
    <w:p>
      <w:pPr>
        <w:spacing w:after="100"/>
      </w:pPr>
      <w:r>
        <w:rPr>
          <w:color w:val="155B5D"/>
          <w:sz w:val="17"/>
        </w:rPr>
        <w:t>Servicegestütztes Workforce Arrival Management mit Arbeitgeberportal und Partner-/Community-App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c>
          <w:tcPr>
            <w:tcW w:type="dxa" w:w="3005"/>
            <w:vMerge w:val="restart"/>
            <w:shd w:fill="F7F8F4"/>
            <w:tcBorders>
              <w:top w:val="single" w:sz="7" w:color="D9D0C3"/>
              <w:left w:val="single" w:sz="7" w:color="D9D0C3"/>
              <w:bottom w:val="single" w:sz="7" w:color="D9D0C3"/>
              <w:right w:val="single" w:sz="7" w:color="D9D0C3"/>
              <w:insideH w:val="single" w:sz="7" w:color="D9D0C3"/>
              <w:insideV w:val="single" w:sz="7" w:color="D9D0C3"/>
            </w:tcBorders>
            <w:tcMar>
              <w:top w:w="95" w:type="dxa"/>
              <w:start w:w="105" w:type="dxa"/>
              <w:bottom w:w="80" w:type="dxa"/>
              <w:end w:w="105" w:type="dxa"/>
            </w:tcMar>
            <w:vAlign w:val="top"/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064E55"/>
                <w:sz w:val="17"/>
              </w:rPr>
              <w:t>SCHLÜSSELPARTNER</w:t>
            </w:r>
          </w:p>
          <w:p>
            <w:pPr>
              <w:spacing w:after="24" w:line="228" w:lineRule="auto"/>
              <w:ind w:left="130" w:hanging="85"/>
            </w:pPr>
            <w:r>
              <w:rPr>
                <w:rFonts w:ascii="Aptos" w:hAnsi="Aptos"/>
                <w:color w:val="101414"/>
                <w:sz w:val="14"/>
              </w:rPr>
              <w:t>• Pilot- und Design-Partner auf Arbeitgeberseite</w:t>
            </w:r>
          </w:p>
          <w:p>
            <w:pPr>
              <w:spacing w:after="24" w:line="228" w:lineRule="auto"/>
              <w:ind w:left="130" w:hanging="85"/>
            </w:pPr>
            <w:r>
              <w:rPr>
                <w:rFonts w:ascii="Aptos" w:hAnsi="Aptos"/>
                <w:color w:val="101414"/>
                <w:sz w:val="14"/>
              </w:rPr>
              <w:t>• Technologie, UX, Datenschutz und Security</w:t>
            </w:r>
          </w:p>
          <w:p>
            <w:pPr>
              <w:spacing w:after="24" w:line="228" w:lineRule="auto"/>
              <w:ind w:left="130" w:hanging="85"/>
            </w:pPr>
            <w:r>
              <w:rPr>
                <w:rFonts w:ascii="Aptos" w:hAnsi="Aptos"/>
                <w:color w:val="101414"/>
                <w:sz w:val="14"/>
              </w:rPr>
              <w:t>• qualifizierte lokale Service- und Community-Anbieter</w:t>
            </w:r>
          </w:p>
          <w:p>
            <w:pPr>
              <w:spacing w:after="24" w:line="228" w:lineRule="auto"/>
              <w:ind w:left="130" w:hanging="85"/>
            </w:pPr>
            <w:r>
              <w:rPr>
                <w:rFonts w:ascii="Aptos" w:hAnsi="Aptos"/>
                <w:color w:val="101414"/>
                <w:sz w:val="14"/>
              </w:rPr>
              <w:t>• Kommunen, Kammern, Welcome-Strukturen und Wirtschaftsförderung</w:t>
            </w:r>
          </w:p>
          <w:p>
            <w:pPr>
              <w:spacing w:after="24" w:line="228" w:lineRule="auto"/>
              <w:ind w:left="130" w:hanging="85"/>
            </w:pPr>
            <w:r>
              <w:rPr>
                <w:rFonts w:ascii="Aptos" w:hAnsi="Aptos"/>
                <w:color w:val="101414"/>
                <w:sz w:val="14"/>
              </w:rPr>
              <w:t>• Förder-, Finanzierungs- und später Investmentpartner</w:t>
            </w:r>
          </w:p>
        </w:tc>
        <w:tc>
          <w:tcPr>
            <w:tcW w:type="dxa" w:w="3005"/>
            <w:shd w:fill="F7F8F4"/>
            <w:tcBorders>
              <w:top w:val="single" w:sz="7" w:color="D9D0C3"/>
              <w:left w:val="single" w:sz="7" w:color="D9D0C3"/>
              <w:bottom w:val="single" w:sz="7" w:color="D9D0C3"/>
              <w:right w:val="single" w:sz="7" w:color="D9D0C3"/>
              <w:insideH w:val="single" w:sz="7" w:color="D9D0C3"/>
              <w:insideV w:val="single" w:sz="7" w:color="D9D0C3"/>
            </w:tcBorders>
            <w:tcMar>
              <w:top w:w="95" w:type="dxa"/>
              <w:start w:w="105" w:type="dxa"/>
              <w:bottom w:w="80" w:type="dxa"/>
              <w:end w:w="105" w:type="dxa"/>
            </w:tcMar>
            <w:vAlign w:val="top"/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064E55"/>
                <w:sz w:val="17"/>
              </w:rPr>
              <w:t>SCHLÜSSELAKTIVITÄTEN</w:t>
            </w:r>
          </w:p>
          <w:p>
            <w:pPr>
              <w:spacing w:after="24" w:line="228" w:lineRule="auto"/>
              <w:ind w:left="130" w:hanging="85"/>
            </w:pPr>
            <w:r>
              <w:rPr>
                <w:rFonts w:ascii="Aptos" w:hAnsi="Aptos"/>
                <w:color w:val="101414"/>
                <w:sz w:val="13"/>
              </w:rPr>
              <w:t>• Readiness und Pilotdesign</w:t>
            </w:r>
          </w:p>
          <w:p>
            <w:pPr>
              <w:spacing w:after="24" w:line="228" w:lineRule="auto"/>
              <w:ind w:left="130" w:hanging="85"/>
            </w:pPr>
            <w:r>
              <w:rPr>
                <w:rFonts w:ascii="Aptos" w:hAnsi="Aptos"/>
                <w:color w:val="101414"/>
                <w:sz w:val="13"/>
              </w:rPr>
              <w:t>• Arrival-Steuerung, Freigaben und Eskalationen</w:t>
            </w:r>
          </w:p>
          <w:p>
            <w:pPr>
              <w:spacing w:after="24" w:line="228" w:lineRule="auto"/>
              <w:ind w:left="130" w:hanging="85"/>
            </w:pPr>
            <w:r>
              <w:rPr>
                <w:rFonts w:ascii="Aptos" w:hAnsi="Aptos"/>
                <w:color w:val="101414"/>
                <w:sz w:val="13"/>
              </w:rPr>
              <w:t>• Portal-, App- und Datenmodellentwicklung</w:t>
            </w:r>
          </w:p>
          <w:p>
            <w:pPr>
              <w:spacing w:after="24" w:line="228" w:lineRule="auto"/>
              <w:ind w:left="130" w:hanging="85"/>
            </w:pPr>
            <w:r>
              <w:rPr>
                <w:rFonts w:ascii="Aptos" w:hAnsi="Aptos"/>
                <w:color w:val="101414"/>
                <w:sz w:val="13"/>
              </w:rPr>
              <w:t>• Partnerqualität und Monitoring</w:t>
            </w:r>
          </w:p>
          <w:p>
            <w:pPr>
              <w:spacing w:after="24" w:line="228" w:lineRule="auto"/>
              <w:ind w:left="130" w:hanging="85"/>
            </w:pPr>
            <w:r>
              <w:rPr>
                <w:rFonts w:ascii="Aptos" w:hAnsi="Aptos"/>
                <w:color w:val="101414"/>
                <w:sz w:val="13"/>
              </w:rPr>
              <w:t>• Vertrieb und regionale Replikation</w:t>
            </w:r>
          </w:p>
        </w:tc>
        <w:tc>
          <w:tcPr>
            <w:tcW w:type="dxa" w:w="3260"/>
            <w:vMerge w:val="restart"/>
            <w:shd w:fill="F7F8F4"/>
            <w:tcBorders>
              <w:top w:val="single" w:sz="7" w:color="D9D0C3"/>
              <w:left w:val="single" w:sz="7" w:color="D9D0C3"/>
              <w:bottom w:val="single" w:sz="7" w:color="D9D0C3"/>
              <w:right w:val="single" w:sz="7" w:color="D9D0C3"/>
              <w:insideH w:val="single" w:sz="7" w:color="D9D0C3"/>
              <w:insideV w:val="single" w:sz="7" w:color="D9D0C3"/>
            </w:tcBorders>
            <w:tcMar>
              <w:top w:w="95" w:type="dxa"/>
              <w:start w:w="105" w:type="dxa"/>
              <w:bottom w:w="80" w:type="dxa"/>
              <w:end w:w="105" w:type="dxa"/>
            </w:tcMar>
            <w:vAlign w:val="top"/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064E55"/>
                <w:sz w:val="17"/>
              </w:rPr>
              <w:t>WERTANGEBOTE</w:t>
            </w:r>
          </w:p>
          <w:p>
            <w:pPr>
              <w:spacing w:after="24" w:line="228" w:lineRule="auto"/>
              <w:ind w:left="130" w:hanging="85"/>
            </w:pPr>
            <w:r>
              <w:rPr>
                <w:rFonts w:ascii="Aptos" w:hAnsi="Aptos"/>
                <w:color w:val="101414"/>
                <w:sz w:val="14"/>
              </w:rPr>
              <w:t>• geführte Ankunftsstrecke nach der Zusage</w:t>
            </w:r>
          </w:p>
          <w:p>
            <w:pPr>
              <w:spacing w:after="24" w:line="228" w:lineRule="auto"/>
              <w:ind w:left="130" w:hanging="85"/>
            </w:pPr>
            <w:r>
              <w:rPr>
                <w:rFonts w:ascii="Aptos" w:hAnsi="Aptos"/>
                <w:color w:val="101414"/>
                <w:sz w:val="14"/>
              </w:rPr>
              <w:t>• Transparenz über Kohorten, Risiken, Aufgaben und Kosten</w:t>
            </w:r>
          </w:p>
          <w:p>
            <w:pPr>
              <w:spacing w:after="24" w:line="228" w:lineRule="auto"/>
              <w:ind w:left="130" w:hanging="85"/>
            </w:pPr>
            <w:r>
              <w:rPr>
                <w:rFonts w:ascii="Aptos" w:hAnsi="Aptos"/>
                <w:color w:val="101414"/>
                <w:sz w:val="14"/>
              </w:rPr>
              <w:t>• 30-/60-/90-/180-Tage-Monitoring und Lerntransfer</w:t>
            </w:r>
          </w:p>
          <w:p>
            <w:pPr>
              <w:spacing w:after="24" w:line="228" w:lineRule="auto"/>
              <w:ind w:left="130" w:hanging="85"/>
            </w:pPr>
            <w:r>
              <w:rPr>
                <w:rFonts w:ascii="Aptos" w:hAnsi="Aptos"/>
                <w:color w:val="101414"/>
                <w:sz w:val="14"/>
              </w:rPr>
              <w:t>• lokale Orientierung, Angebote und Community für Beschäftigte</w:t>
            </w:r>
          </w:p>
          <w:p>
            <w:pPr>
              <w:spacing w:after="24" w:line="228" w:lineRule="auto"/>
              <w:ind w:left="130" w:hanging="85"/>
            </w:pPr>
            <w:r>
              <w:rPr>
                <w:rFonts w:ascii="Aptos" w:hAnsi="Aptos"/>
                <w:color w:val="101414"/>
                <w:sz w:val="14"/>
              </w:rPr>
              <w:t>• strukturierter Zugang zu konkreten Bedarfen für Partner</w:t>
            </w:r>
          </w:p>
          <w:p>
            <w:pPr>
              <w:spacing w:after="24" w:line="228" w:lineRule="auto"/>
              <w:ind w:left="130" w:hanging="85"/>
            </w:pPr>
            <w:r>
              <w:rPr>
                <w:rFonts w:ascii="Aptos" w:hAnsi="Aptos"/>
                <w:color w:val="101414"/>
                <w:sz w:val="14"/>
              </w:rPr>
              <w:t>• replizierbares System statt fragmentierter Einzelabsprachen</w:t>
            </w:r>
          </w:p>
        </w:tc>
        <w:tc>
          <w:tcPr>
            <w:tcW w:type="dxa" w:w="3005"/>
            <w:shd w:fill="F7F8F4"/>
            <w:tcBorders>
              <w:top w:val="single" w:sz="7" w:color="D9D0C3"/>
              <w:left w:val="single" w:sz="7" w:color="D9D0C3"/>
              <w:bottom w:val="single" w:sz="7" w:color="D9D0C3"/>
              <w:right w:val="single" w:sz="7" w:color="D9D0C3"/>
              <w:insideH w:val="single" w:sz="7" w:color="D9D0C3"/>
              <w:insideV w:val="single" w:sz="7" w:color="D9D0C3"/>
            </w:tcBorders>
            <w:tcMar>
              <w:top w:w="95" w:type="dxa"/>
              <w:start w:w="105" w:type="dxa"/>
              <w:bottom w:w="80" w:type="dxa"/>
              <w:end w:w="105" w:type="dxa"/>
            </w:tcMar>
            <w:vAlign w:val="top"/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064E55"/>
                <w:sz w:val="17"/>
              </w:rPr>
              <w:t>KUNDENBEZIEHUNGEN</w:t>
            </w:r>
          </w:p>
          <w:p>
            <w:pPr>
              <w:spacing w:after="24" w:line="228" w:lineRule="auto"/>
              <w:ind w:left="130" w:hanging="85"/>
            </w:pPr>
            <w:r>
              <w:rPr>
                <w:rFonts w:ascii="Aptos" w:hAnsi="Aptos"/>
                <w:color w:val="101414"/>
                <w:sz w:val="13"/>
              </w:rPr>
              <w:t>• Readiness Sprint oder begrenzter Pilot</w:t>
            </w:r>
          </w:p>
          <w:p>
            <w:pPr>
              <w:spacing w:after="24" w:line="228" w:lineRule="auto"/>
              <w:ind w:left="130" w:hanging="85"/>
            </w:pPr>
            <w:r>
              <w:rPr>
                <w:rFonts w:ascii="Aptos" w:hAnsi="Aptos"/>
                <w:color w:val="101414"/>
                <w:sz w:val="13"/>
              </w:rPr>
              <w:t>• persönliche Steuerung in der frühen Phase</w:t>
            </w:r>
          </w:p>
          <w:p>
            <w:pPr>
              <w:spacing w:after="24" w:line="228" w:lineRule="auto"/>
              <w:ind w:left="130" w:hanging="85"/>
            </w:pPr>
            <w:r>
              <w:rPr>
                <w:rFonts w:ascii="Aptos" w:hAnsi="Aptos"/>
                <w:color w:val="101414"/>
                <w:sz w:val="13"/>
              </w:rPr>
              <w:t>• wiederkehrendes Monitoring und Reporting</w:t>
            </w:r>
          </w:p>
          <w:p>
            <w:pPr>
              <w:spacing w:after="24" w:line="228" w:lineRule="auto"/>
              <w:ind w:left="130" w:hanging="85"/>
            </w:pPr>
            <w:r>
              <w:rPr>
                <w:rFonts w:ascii="Aptos" w:hAnsi="Aptos"/>
                <w:color w:val="101414"/>
                <w:sz w:val="13"/>
              </w:rPr>
              <w:t>• später Portal- und App-Self-Service</w:t>
            </w:r>
          </w:p>
        </w:tc>
        <w:tc>
          <w:tcPr>
            <w:tcW w:type="dxa" w:w="3005"/>
            <w:vMerge w:val="restart"/>
            <w:shd w:fill="F7F8F4"/>
            <w:tcBorders>
              <w:top w:val="single" w:sz="7" w:color="D9D0C3"/>
              <w:left w:val="single" w:sz="7" w:color="D9D0C3"/>
              <w:bottom w:val="single" w:sz="7" w:color="D9D0C3"/>
              <w:right w:val="single" w:sz="7" w:color="D9D0C3"/>
              <w:insideH w:val="single" w:sz="7" w:color="D9D0C3"/>
              <w:insideV w:val="single" w:sz="7" w:color="D9D0C3"/>
            </w:tcBorders>
            <w:tcMar>
              <w:top w:w="95" w:type="dxa"/>
              <w:start w:w="105" w:type="dxa"/>
              <w:bottom w:w="80" w:type="dxa"/>
              <w:end w:w="105" w:type="dxa"/>
            </w:tcMar>
            <w:vAlign w:val="top"/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064E55"/>
                <w:sz w:val="17"/>
              </w:rPr>
              <w:t>KUNDENSEGMENTE</w:t>
            </w:r>
          </w:p>
          <w:p>
            <w:pPr>
              <w:spacing w:after="24" w:line="228" w:lineRule="auto"/>
              <w:ind w:left="130" w:hanging="85"/>
            </w:pPr>
            <w:r>
              <w:rPr>
                <w:rFonts w:ascii="Aptos" w:hAnsi="Aptos"/>
                <w:color w:val="101414"/>
                <w:sz w:val="14"/>
              </w:rPr>
              <w:t>• Pflegeanbieter, Kliniken und soziale Träger</w:t>
            </w:r>
          </w:p>
          <w:p>
            <w:pPr>
              <w:spacing w:after="24" w:line="228" w:lineRule="auto"/>
              <w:ind w:left="130" w:hanging="85"/>
            </w:pPr>
            <w:r>
              <w:rPr>
                <w:rFonts w:ascii="Aptos" w:hAnsi="Aptos"/>
                <w:color w:val="101414"/>
                <w:sz w:val="14"/>
              </w:rPr>
              <w:t>• Hospitality, Infrastruktur und operativer Mittelstand</w:t>
            </w:r>
          </w:p>
          <w:p>
            <w:pPr>
              <w:spacing w:after="24" w:line="228" w:lineRule="auto"/>
              <w:ind w:left="130" w:hanging="85"/>
            </w:pPr>
            <w:r>
              <w:rPr>
                <w:rFonts w:ascii="Aptos" w:hAnsi="Aptos"/>
                <w:color w:val="101414"/>
                <w:sz w:val="14"/>
              </w:rPr>
              <w:t>• Entscheider: Geschäftsführung, HR, Standort- und Budgetrollen</w:t>
            </w:r>
          </w:p>
          <w:p>
            <w:pPr>
              <w:spacing w:after="24" w:line="228" w:lineRule="auto"/>
              <w:ind w:left="130" w:hanging="85"/>
            </w:pPr>
            <w:r>
              <w:rPr>
                <w:rFonts w:ascii="Aptos" w:hAnsi="Aptos"/>
                <w:color w:val="101414"/>
                <w:sz w:val="14"/>
              </w:rPr>
              <w:t>• sekundär: Beschäftigte sowie lokale Service- und Community-Partner</w:t>
            </w:r>
          </w:p>
        </w:tc>
      </w:tr>
      <w:tr>
        <w:tc>
          <w:tcPr>
            <w:tcW w:type="dxa" w:w="3005"/>
            <w:vMerge/>
          </w:tcPr>
          <w:p/>
        </w:tc>
        <w:tc>
          <w:tcPr>
            <w:tcW w:type="dxa" w:w="3005"/>
            <w:shd w:fill="F7F8F4"/>
            <w:tcBorders>
              <w:top w:val="single" w:sz="7" w:color="D9D0C3"/>
              <w:left w:val="single" w:sz="7" w:color="D9D0C3"/>
              <w:bottom w:val="single" w:sz="7" w:color="D9D0C3"/>
              <w:right w:val="single" w:sz="7" w:color="D9D0C3"/>
              <w:insideH w:val="single" w:sz="7" w:color="D9D0C3"/>
              <w:insideV w:val="single" w:sz="7" w:color="D9D0C3"/>
            </w:tcBorders>
            <w:tcMar>
              <w:top w:w="95" w:type="dxa"/>
              <w:start w:w="105" w:type="dxa"/>
              <w:bottom w:w="80" w:type="dxa"/>
              <w:end w:w="105" w:type="dxa"/>
            </w:tcMar>
            <w:vAlign w:val="top"/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155B5D"/>
                <w:sz w:val="17"/>
              </w:rPr>
              <w:t>SCHLÜSSELRESSOURCEN</w:t>
            </w:r>
          </w:p>
          <w:p>
            <w:pPr>
              <w:spacing w:after="24" w:line="228" w:lineRule="auto"/>
              <w:ind w:left="130" w:hanging="85"/>
            </w:pPr>
            <w:r>
              <w:rPr>
                <w:rFonts w:ascii="Aptos" w:hAnsi="Aptos"/>
                <w:color w:val="101414"/>
                <w:sz w:val="13"/>
              </w:rPr>
              <w:t>• Gründer- und Prozesserfahrung</w:t>
            </w:r>
          </w:p>
          <w:p>
            <w:pPr>
              <w:spacing w:after="24" w:line="228" w:lineRule="auto"/>
              <w:ind w:left="130" w:hanging="85"/>
            </w:pPr>
            <w:r>
              <w:rPr>
                <w:rFonts w:ascii="Aptos" w:hAnsi="Aptos"/>
                <w:color w:val="101414"/>
                <w:sz w:val="13"/>
              </w:rPr>
              <w:t>• Playbooks, Status-/Risikomodell und Datenstruktur</w:t>
            </w:r>
          </w:p>
          <w:p>
            <w:pPr>
              <w:spacing w:after="24" w:line="228" w:lineRule="auto"/>
              <w:ind w:left="130" w:hanging="85"/>
            </w:pPr>
            <w:r>
              <w:rPr>
                <w:rFonts w:ascii="Aptos" w:hAnsi="Aptos"/>
                <w:color w:val="101414"/>
                <w:sz w:val="13"/>
              </w:rPr>
              <w:t>• Control Center und App als Produkt-IP</w:t>
            </w:r>
          </w:p>
          <w:p>
            <w:pPr>
              <w:spacing w:after="24" w:line="228" w:lineRule="auto"/>
              <w:ind w:left="130" w:hanging="85"/>
            </w:pPr>
            <w:r>
              <w:rPr>
                <w:rFonts w:ascii="Aptos" w:hAnsi="Aptos"/>
                <w:color w:val="101414"/>
                <w:sz w:val="13"/>
              </w:rPr>
              <w:t>• lokales Netzwerk und Vertrauen</w:t>
            </w:r>
          </w:p>
          <w:p>
            <w:pPr>
              <w:spacing w:after="24" w:line="228" w:lineRule="auto"/>
              <w:ind w:left="130" w:hanging="85"/>
            </w:pPr>
            <w:r>
              <w:rPr>
                <w:rFonts w:ascii="Aptos" w:hAnsi="Aptos"/>
                <w:color w:val="101414"/>
                <w:sz w:val="13"/>
              </w:rPr>
              <w:t>• später Produkt-, Tech- und Customer-Success-Team</w:t>
            </w:r>
          </w:p>
        </w:tc>
        <w:tc>
          <w:tcPr>
            <w:tcW w:type="dxa" w:w="3260"/>
            <w:vMerge/>
          </w:tcPr>
          <w:p/>
        </w:tc>
        <w:tc>
          <w:tcPr>
            <w:tcW w:type="dxa" w:w="3005"/>
            <w:shd w:fill="F7F8F4"/>
            <w:tcBorders>
              <w:top w:val="single" w:sz="7" w:color="D9D0C3"/>
              <w:left w:val="single" w:sz="7" w:color="D9D0C3"/>
              <w:bottom w:val="single" w:sz="7" w:color="D9D0C3"/>
              <w:right w:val="single" w:sz="7" w:color="D9D0C3"/>
              <w:insideH w:val="single" w:sz="7" w:color="D9D0C3"/>
              <w:insideV w:val="single" w:sz="7" w:color="D9D0C3"/>
            </w:tcBorders>
            <w:tcMar>
              <w:top w:w="95" w:type="dxa"/>
              <w:start w:w="105" w:type="dxa"/>
              <w:bottom w:w="80" w:type="dxa"/>
              <w:end w:w="105" w:type="dxa"/>
            </w:tcMar>
            <w:vAlign w:val="top"/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155B5D"/>
                <w:sz w:val="17"/>
              </w:rPr>
              <w:t>KANÄLE</w:t>
            </w:r>
          </w:p>
          <w:p>
            <w:pPr>
              <w:spacing w:after="24" w:line="228" w:lineRule="auto"/>
              <w:ind w:left="130" w:hanging="85"/>
            </w:pPr>
            <w:r>
              <w:rPr>
                <w:rFonts w:ascii="Aptos" w:hAnsi="Aptos"/>
                <w:color w:val="101414"/>
                <w:sz w:val="13"/>
              </w:rPr>
              <w:t>• direkter Gründervertrieb und Zielaccounts</w:t>
            </w:r>
          </w:p>
          <w:p>
            <w:pPr>
              <w:spacing w:after="24" w:line="228" w:lineRule="auto"/>
              <w:ind w:left="130" w:hanging="85"/>
            </w:pPr>
            <w:r>
              <w:rPr>
                <w:rFonts w:ascii="Aptos" w:hAnsi="Aptos"/>
                <w:color w:val="101414"/>
                <w:sz w:val="13"/>
              </w:rPr>
              <w:t>• Empfehlungen und Arbeitgebernetzwerke</w:t>
            </w:r>
          </w:p>
          <w:p>
            <w:pPr>
              <w:spacing w:after="24" w:line="228" w:lineRule="auto"/>
              <w:ind w:left="130" w:hanging="85"/>
            </w:pPr>
            <w:r>
              <w:rPr>
                <w:rFonts w:ascii="Aptos" w:hAnsi="Aptos"/>
                <w:color w:val="101414"/>
                <w:sz w:val="13"/>
              </w:rPr>
              <w:t>• Pilot- und Design-Partner</w:t>
            </w:r>
          </w:p>
          <w:p>
            <w:pPr>
              <w:spacing w:after="24" w:line="228" w:lineRule="auto"/>
              <w:ind w:left="130" w:hanging="85"/>
            </w:pPr>
            <w:r>
              <w:rPr>
                <w:rFonts w:ascii="Aptos" w:hAnsi="Aptos"/>
                <w:color w:val="101414"/>
                <w:sz w:val="13"/>
              </w:rPr>
              <w:t>• Kammern, Wirtschaftsförderung und kommunale Ökosysteme</w:t>
            </w:r>
          </w:p>
          <w:p>
            <w:pPr>
              <w:spacing w:after="24" w:line="228" w:lineRule="auto"/>
              <w:ind w:left="130" w:hanging="85"/>
            </w:pPr>
            <w:r>
              <w:rPr>
                <w:rFonts w:ascii="Aptos" w:hAnsi="Aptos"/>
                <w:color w:val="101414"/>
                <w:sz w:val="13"/>
              </w:rPr>
              <w:t>• Website und partnerschaftlicher Vertrieb</w:t>
            </w:r>
          </w:p>
        </w:tc>
        <w:tc>
          <w:tcPr>
            <w:tcW w:type="dxa" w:w="3005"/>
            <w:vMerge/>
          </w:tcPr>
          <w:p/>
        </w:tc>
      </w:tr>
      <w:tr>
        <w:tc>
          <w:tcPr>
            <w:tcW w:type="dxa" w:w="6010"/>
            <w:gridSpan w:val="2"/>
            <w:shd w:fill="F7F8F4"/>
            <w:tcBorders>
              <w:top w:val="single" w:sz="7" w:color="D9D0C3"/>
              <w:left w:val="single" w:sz="7" w:color="D9D0C3"/>
              <w:bottom w:val="single" w:sz="7" w:color="D9D0C3"/>
              <w:right w:val="single" w:sz="7" w:color="D9D0C3"/>
              <w:insideH w:val="single" w:sz="7" w:color="D9D0C3"/>
              <w:insideV w:val="single" w:sz="7" w:color="D9D0C3"/>
            </w:tcBorders>
            <w:tcMar>
              <w:top w:w="95" w:type="dxa"/>
              <w:start w:w="105" w:type="dxa"/>
              <w:bottom w:w="80" w:type="dxa"/>
              <w:end w:w="105" w:type="dxa"/>
            </w:tcMar>
            <w:vAlign w:val="top"/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F2765B"/>
                <w:sz w:val="17"/>
              </w:rPr>
              <w:t>KOSTENSTRUKTUR</w:t>
            </w:r>
          </w:p>
          <w:p>
            <w:pPr>
              <w:spacing w:after="24" w:line="228" w:lineRule="auto"/>
              <w:ind w:left="130" w:hanging="85"/>
            </w:pPr>
            <w:r>
              <w:rPr>
                <w:rFonts w:ascii="Aptos" w:hAnsi="Aptos"/>
                <w:color w:val="101414"/>
                <w:sz w:val="13"/>
              </w:rPr>
              <w:t>• Gründer, Team und operative Umsetzung</w:t>
            </w:r>
          </w:p>
          <w:p>
            <w:pPr>
              <w:spacing w:after="24" w:line="228" w:lineRule="auto"/>
              <w:ind w:left="130" w:hanging="85"/>
            </w:pPr>
            <w:r>
              <w:rPr>
                <w:rFonts w:ascii="Aptos" w:hAnsi="Aptos"/>
                <w:color w:val="101414"/>
                <w:sz w:val="13"/>
              </w:rPr>
              <w:t>• Produktentwicklung, Hosting, Datenschutz und Security</w:t>
            </w:r>
          </w:p>
          <w:p>
            <w:pPr>
              <w:spacing w:after="24" w:line="228" w:lineRule="auto"/>
              <w:ind w:left="130" w:hanging="85"/>
            </w:pPr>
            <w:r>
              <w:rPr>
                <w:rFonts w:ascii="Aptos" w:hAnsi="Aptos"/>
                <w:color w:val="101414"/>
                <w:sz w:val="13"/>
              </w:rPr>
              <w:t>• Vertrieb, Pilotvorbereitung und Customer Success</w:t>
            </w:r>
          </w:p>
          <w:p>
            <w:pPr>
              <w:spacing w:after="24" w:line="228" w:lineRule="auto"/>
              <w:ind w:left="130" w:hanging="85"/>
            </w:pPr>
            <w:r>
              <w:rPr>
                <w:rFonts w:ascii="Aptos" w:hAnsi="Aptos"/>
                <w:color w:val="101414"/>
                <w:sz w:val="13"/>
              </w:rPr>
              <w:t>• Recht, Steuer, Versicherung und Buchhaltung</w:t>
            </w:r>
          </w:p>
          <w:p>
            <w:pPr>
              <w:spacing w:after="24" w:line="228" w:lineRule="auto"/>
              <w:ind w:left="130" w:hanging="85"/>
            </w:pPr>
            <w:r>
              <w:rPr>
                <w:rFonts w:ascii="Aptos" w:hAnsi="Aptos"/>
                <w:color w:val="101414"/>
                <w:sz w:val="13"/>
              </w:rPr>
              <w:t>• Partneraufbau; externe Fallkosten bleiben getrennt</w:t>
            </w:r>
          </w:p>
        </w:tc>
        <w:tc>
          <w:tcPr>
            <w:tcW w:type="dxa" w:w="9270"/>
            <w:gridSpan w:val="3"/>
            <w:shd w:fill="F7F8F4"/>
            <w:tcBorders>
              <w:top w:val="single" w:sz="7" w:color="D9D0C3"/>
              <w:left w:val="single" w:sz="7" w:color="D9D0C3"/>
              <w:bottom w:val="single" w:sz="7" w:color="D9D0C3"/>
              <w:right w:val="single" w:sz="7" w:color="D9D0C3"/>
              <w:insideH w:val="single" w:sz="7" w:color="D9D0C3"/>
              <w:insideV w:val="single" w:sz="7" w:color="D9D0C3"/>
            </w:tcBorders>
            <w:tcMar>
              <w:top w:w="95" w:type="dxa"/>
              <w:start w:w="105" w:type="dxa"/>
              <w:bottom w:w="80" w:type="dxa"/>
              <w:end w:w="105" w:type="dxa"/>
            </w:tcMar>
            <w:vAlign w:val="top"/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4FD6B8"/>
                <w:sz w:val="17"/>
              </w:rPr>
              <w:t>EINNAHMEQUELLEN</w:t>
            </w:r>
          </w:p>
          <w:p>
            <w:pPr>
              <w:spacing w:after="24" w:line="228" w:lineRule="auto"/>
              <w:ind w:left="130" w:hanging="85"/>
            </w:pPr>
            <w:r>
              <w:rPr>
                <w:rFonts w:ascii="Aptos" w:hAnsi="Aptos"/>
                <w:color w:val="101414"/>
                <w:sz w:val="14"/>
              </w:rPr>
              <w:t>• Readiness Sprint ab 5.900 EUR netto</w:t>
            </w:r>
          </w:p>
          <w:p>
            <w:pPr>
              <w:spacing w:after="24" w:line="228" w:lineRule="auto"/>
              <w:ind w:left="130" w:hanging="85"/>
            </w:pPr>
            <w:r>
              <w:rPr>
                <w:rFonts w:ascii="Aptos" w:hAnsi="Aptos"/>
                <w:color w:val="101414"/>
                <w:sz w:val="14"/>
              </w:rPr>
              <w:t>• Arrival Control Pilot ab 18.500 EUR netto</w:t>
            </w:r>
          </w:p>
          <w:p>
            <w:pPr>
              <w:spacing w:after="24" w:line="228" w:lineRule="auto"/>
              <w:ind w:left="130" w:hanging="85"/>
            </w:pPr>
            <w:r>
              <w:rPr>
                <w:rFonts w:ascii="Aptos" w:hAnsi="Aptos"/>
                <w:color w:val="101414"/>
                <w:sz w:val="14"/>
              </w:rPr>
              <w:t>• erweitertes Mandat 42.000 EUR Planpreis bei echter Komplexität</w:t>
            </w:r>
          </w:p>
          <w:p>
            <w:pPr>
              <w:spacing w:after="24" w:line="228" w:lineRule="auto"/>
              <w:ind w:left="130" w:hanging="85"/>
            </w:pPr>
            <w:r>
              <w:rPr>
                <w:rFonts w:ascii="Aptos" w:hAnsi="Aptos"/>
                <w:color w:val="101414"/>
                <w:sz w:val="14"/>
              </w:rPr>
              <w:t>• Monitoring ab 2.900 EUR netto pro Monat</w:t>
            </w:r>
          </w:p>
          <w:p>
            <w:pPr>
              <w:spacing w:after="24" w:line="228" w:lineRule="auto"/>
              <w:ind w:left="130" w:hanging="85"/>
            </w:pPr>
            <w:r>
              <w:rPr>
                <w:rFonts w:ascii="Aptos" w:hAnsi="Aptos"/>
                <w:color w:val="101414"/>
                <w:sz w:val="14"/>
              </w:rPr>
              <w:t>• Partner Network Build separat; Plattformlizenz erst nach Produktreife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709" w:right="709" w:bottom="567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710"/>
      <w:gridCol w:w="7710"/>
    </w:tblGrid>
    <w:tr>
      <w:tc>
        <w:tcPr>
          <w:tcW w:type="dxa" w:w="12472"/>
        </w:tcPr>
        <w:p>
          <w:r>
            <w:rPr>
              <w:rFonts w:ascii="Aptos" w:hAnsi="Aptos"/>
              <w:color w:val="155B5D"/>
              <w:sz w:val="13"/>
            </w:rPr>
            <w:t>NEXT Award 2026 | Inhaltsmaster, nicht offizielle Vorlage | Stand 24.09.2026</w:t>
          </w:r>
        </w:p>
      </w:tc>
      <w:tc>
        <w:tcPr>
          <w:tcW w:type="dxa" w:w="1701"/>
        </w:tcPr>
        <w:p>
          <w:pPr>
            <w:jc w:val="right"/>
          </w:pPr>
          <w:r>
            <w:rPr>
              <w:color w:val="155B5D"/>
              <w:sz w:val="14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 Display" w:hAnsi="Aptos Display"/>
        <w:b/>
        <w:color w:val="064E55"/>
        <w:sz w:val="18"/>
      </w:rPr>
      <w:t>AMAVIO</w:t>
    </w:r>
    <w:r>
      <w:rPr>
        <w:rFonts w:ascii="Aptos" w:hAnsi="Aptos"/>
        <w:color w:val="155B5D"/>
        <w:sz w:val="14"/>
      </w:rPr>
      <w:t xml:space="preserve">  |  WORKFORCE ARRIVAL MANAGEMENT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9" w:lineRule="auto"/>
    </w:pPr>
    <w:rPr>
      <w:rFonts w:ascii="Aptos" w:hAnsi="Aptos" w:eastAsia="Aptos"/>
      <w:color w:val="101414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64E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55B5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64E55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01414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